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30" w:type="dxa"/>
          <w:left w:w="30" w:type="dxa"/>
          <w:bottom w:w="30" w:type="dxa"/>
          <w:right w:w="30" w:type="dxa"/>
        </w:tblCellMar>
        <w:tblLook w:val="04A0"/>
      </w:tblPr>
      <w:tblGrid>
        <w:gridCol w:w="8366"/>
      </w:tblGrid>
      <w:tr w:rsidR="008D2128" w:rsidRPr="008D2128">
        <w:trPr>
          <w:trHeight w:val="600"/>
          <w:tblCellSpacing w:w="0" w:type="dxa"/>
          <w:jc w:val="center"/>
        </w:trPr>
        <w:tc>
          <w:tcPr>
            <w:tcW w:w="0" w:type="auto"/>
            <w:vAlign w:val="center"/>
            <w:hideMark/>
          </w:tcPr>
          <w:p w:rsidR="008D2128" w:rsidRPr="008D2128" w:rsidRDefault="008D2128" w:rsidP="008D2128">
            <w:pPr>
              <w:widowControl/>
              <w:spacing w:line="360" w:lineRule="auto"/>
              <w:jc w:val="center"/>
              <w:rPr>
                <w:rFonts w:ascii="宋体" w:eastAsia="宋体" w:hAnsi="宋体" w:cs="宋体"/>
                <w:kern w:val="0"/>
                <w:sz w:val="18"/>
                <w:szCs w:val="18"/>
              </w:rPr>
            </w:pPr>
            <w:r w:rsidRPr="008D2128">
              <w:rPr>
                <w:rFonts w:ascii="宋体" w:eastAsia="宋体" w:hAnsi="宋体" w:cs="宋体" w:hint="eastAsia"/>
                <w:b/>
                <w:bCs/>
                <w:kern w:val="0"/>
                <w:sz w:val="27"/>
              </w:rPr>
              <w:t>河北省市场主体行政审批后续监管清单</w:t>
            </w:r>
            <w:r w:rsidRPr="008D2128">
              <w:rPr>
                <w:rFonts w:ascii="宋体" w:eastAsia="宋体" w:hAnsi="宋体" w:cs="宋体" w:hint="eastAsia"/>
                <w:kern w:val="0"/>
                <w:sz w:val="18"/>
                <w:szCs w:val="18"/>
              </w:rPr>
              <w:t xml:space="preserve"> </w:t>
            </w:r>
          </w:p>
        </w:tc>
      </w:tr>
      <w:tr w:rsidR="008D2128" w:rsidRPr="008D2128">
        <w:trPr>
          <w:tblCellSpacing w:w="0" w:type="dxa"/>
          <w:jc w:val="center"/>
        </w:trPr>
        <w:tc>
          <w:tcPr>
            <w:tcW w:w="0" w:type="auto"/>
            <w:shd w:val="clear" w:color="auto" w:fill="F6F6F6"/>
            <w:vAlign w:val="center"/>
            <w:hideMark/>
          </w:tcPr>
          <w:p w:rsidR="008D2128" w:rsidRPr="008D2128" w:rsidRDefault="008D2128" w:rsidP="008D2128">
            <w:pPr>
              <w:widowControl/>
              <w:spacing w:line="360" w:lineRule="auto"/>
              <w:jc w:val="right"/>
              <w:rPr>
                <w:rFonts w:ascii="宋体" w:eastAsia="宋体" w:hAnsi="宋体" w:cs="宋体"/>
                <w:kern w:val="0"/>
                <w:sz w:val="18"/>
                <w:szCs w:val="18"/>
              </w:rPr>
            </w:pPr>
            <w:r w:rsidRPr="008D2128">
              <w:rPr>
                <w:rFonts w:ascii="宋体" w:eastAsia="宋体" w:hAnsi="宋体" w:cs="宋体" w:hint="eastAsia"/>
                <w:kern w:val="0"/>
                <w:sz w:val="18"/>
                <w:szCs w:val="18"/>
              </w:rPr>
              <w:t xml:space="preserve">更新时间：2015-1-4                </w:t>
            </w:r>
          </w:p>
        </w:tc>
      </w:tr>
      <w:tr w:rsidR="008D2128" w:rsidRPr="008D2128">
        <w:trPr>
          <w:tblCellSpacing w:w="0" w:type="dxa"/>
          <w:jc w:val="center"/>
        </w:trPr>
        <w:tc>
          <w:tcPr>
            <w:tcW w:w="0" w:type="auto"/>
            <w:vAlign w:val="center"/>
            <w:hideMark/>
          </w:tcPr>
          <w:tbl>
            <w:tblPr>
              <w:tblW w:w="11670" w:type="dxa"/>
              <w:jc w:val="center"/>
              <w:tblCellSpacing w:w="37" w:type="dxa"/>
              <w:tblCellMar>
                <w:left w:w="0" w:type="dxa"/>
                <w:right w:w="0" w:type="dxa"/>
              </w:tblCellMar>
              <w:tblLook w:val="04A0"/>
            </w:tblPr>
            <w:tblGrid>
              <w:gridCol w:w="11670"/>
            </w:tblGrid>
            <w:tr w:rsidR="008D2128" w:rsidRPr="008D2128">
              <w:trPr>
                <w:trHeight w:val="4500"/>
                <w:tblCellSpacing w:w="37" w:type="dxa"/>
                <w:jc w:val="center"/>
              </w:trPr>
              <w:tc>
                <w:tcPr>
                  <w:tcW w:w="0" w:type="auto"/>
                  <w:hideMark/>
                </w:tcPr>
                <w:tbl>
                  <w:tblPr>
                    <w:tblW w:w="5000" w:type="pct"/>
                    <w:tblCellSpacing w:w="0" w:type="dxa"/>
                    <w:tblCellMar>
                      <w:left w:w="0" w:type="dxa"/>
                      <w:right w:w="0" w:type="dxa"/>
                    </w:tblCellMar>
                    <w:tblLook w:val="04A0"/>
                  </w:tblPr>
                  <w:tblGrid>
                    <w:gridCol w:w="600"/>
                    <w:gridCol w:w="9722"/>
                    <w:gridCol w:w="1200"/>
                  </w:tblGrid>
                  <w:tr w:rsidR="008D2128" w:rsidRPr="008D2128">
                    <w:trPr>
                      <w:tblCellSpacing w:w="0" w:type="dxa"/>
                    </w:trPr>
                    <w:tc>
                      <w:tcPr>
                        <w:tcW w:w="600" w:type="dxa"/>
                        <w:vAlign w:val="center"/>
                        <w:hideMark/>
                      </w:tcPr>
                      <w:tbl>
                        <w:tblPr>
                          <w:tblpPr w:leftFromText="45" w:rightFromText="45" w:vertAnchor="text"/>
                          <w:tblW w:w="0" w:type="auto"/>
                          <w:tblCellSpacing w:w="0" w:type="dxa"/>
                          <w:tblCellMar>
                            <w:top w:w="150" w:type="dxa"/>
                            <w:left w:w="150" w:type="dxa"/>
                            <w:bottom w:w="150" w:type="dxa"/>
                            <w:right w:w="150" w:type="dxa"/>
                          </w:tblCellMar>
                          <w:tblLook w:val="04A0"/>
                        </w:tblPr>
                        <w:tblGrid>
                          <w:gridCol w:w="306"/>
                        </w:tblGrid>
                        <w:tr w:rsidR="008D2128" w:rsidRPr="008D2128">
                          <w:trPr>
                            <w:tblCellSpacing w:w="0" w:type="dxa"/>
                          </w:trPr>
                          <w:tc>
                            <w:tcPr>
                              <w:tcW w:w="0" w:type="auto"/>
                              <w:vAlign w:val="center"/>
                              <w:hideMark/>
                            </w:tcPr>
                            <w:p w:rsidR="008D2128" w:rsidRPr="008D2128" w:rsidRDefault="008D2128" w:rsidP="008D2128">
                              <w:pPr>
                                <w:widowControl/>
                                <w:spacing w:line="360" w:lineRule="auto"/>
                                <w:jc w:val="left"/>
                                <w:rPr>
                                  <w:rFonts w:ascii="宋体" w:eastAsia="宋体" w:hAnsi="宋体" w:cs="宋体"/>
                                  <w:kern w:val="0"/>
                                  <w:sz w:val="18"/>
                                  <w:szCs w:val="18"/>
                                </w:rPr>
                              </w:pPr>
                            </w:p>
                          </w:tc>
                        </w:tr>
                      </w:tbl>
                      <w:p w:rsidR="008D2128" w:rsidRPr="008D2128" w:rsidRDefault="008D2128" w:rsidP="008D2128">
                        <w:pPr>
                          <w:widowControl/>
                          <w:spacing w:line="360" w:lineRule="auto"/>
                          <w:jc w:val="left"/>
                          <w:rPr>
                            <w:rFonts w:ascii="宋体" w:eastAsia="宋体" w:hAnsi="宋体" w:cs="宋体"/>
                            <w:kern w:val="0"/>
                            <w:sz w:val="18"/>
                            <w:szCs w:val="18"/>
                          </w:rPr>
                        </w:pPr>
                      </w:p>
                    </w:tc>
                    <w:tc>
                      <w:tcPr>
                        <w:tcW w:w="0" w:type="auto"/>
                        <w:vAlign w:val="center"/>
                      </w:tcPr>
                      <w:p w:rsidR="008D2128" w:rsidRPr="008D2128" w:rsidRDefault="008D2128" w:rsidP="008D2128">
                        <w:pPr>
                          <w:widowControl/>
                          <w:spacing w:line="580" w:lineRule="exact"/>
                          <w:jc w:val="center"/>
                          <w:rPr>
                            <w:rFonts w:ascii="方正小标宋简体" w:eastAsia="方正小标宋简体" w:hAnsi="黑体" w:cs="黑体"/>
                            <w:spacing w:val="-4"/>
                            <w:kern w:val="0"/>
                            <w:sz w:val="28"/>
                            <w:szCs w:val="28"/>
                          </w:rPr>
                        </w:pPr>
                        <w:r w:rsidRPr="008D2128">
                          <w:rPr>
                            <w:rFonts w:ascii="方正小标宋简体" w:eastAsia="方正小标宋简体" w:hAnsi="黑体" w:cs="黑体" w:hint="eastAsia"/>
                            <w:spacing w:val="-4"/>
                            <w:kern w:val="0"/>
                            <w:sz w:val="44"/>
                            <w:szCs w:val="44"/>
                          </w:rPr>
                          <w:t xml:space="preserve">                                                 </w:t>
                        </w:r>
                        <w:r w:rsidRPr="008D2128">
                          <w:rPr>
                            <w:rFonts w:ascii="方正小标宋简体" w:eastAsia="方正小标宋简体" w:hAnsi="黑体" w:cs="黑体" w:hint="eastAsia"/>
                            <w:spacing w:val="-4"/>
                            <w:kern w:val="0"/>
                            <w:sz w:val="28"/>
                            <w:szCs w:val="28"/>
                          </w:rPr>
                          <w:t>冀政办函【2014】111号</w:t>
                        </w:r>
                      </w:p>
                      <w:p w:rsidR="008D2128" w:rsidRPr="008D2128" w:rsidRDefault="008D2128" w:rsidP="008D2128">
                        <w:pPr>
                          <w:widowControl/>
                          <w:spacing w:line="580" w:lineRule="exact"/>
                          <w:jc w:val="center"/>
                          <w:rPr>
                            <w:rFonts w:ascii="方正小标宋简体" w:eastAsia="方正小标宋简体" w:hAnsi="黑体" w:cs="黑体" w:hint="eastAsia"/>
                            <w:spacing w:val="-4"/>
                            <w:kern w:val="0"/>
                            <w:sz w:val="44"/>
                            <w:szCs w:val="44"/>
                          </w:rPr>
                        </w:pPr>
                      </w:p>
                      <w:p w:rsidR="008D2128" w:rsidRPr="008D2128" w:rsidRDefault="008D2128" w:rsidP="008D2128">
                        <w:pPr>
                          <w:widowControl/>
                          <w:spacing w:line="580" w:lineRule="exact"/>
                          <w:jc w:val="center"/>
                          <w:rPr>
                            <w:rFonts w:ascii="黑体" w:eastAsia="黑体" w:hAnsi="黑体" w:cs="黑体" w:hint="eastAsia"/>
                            <w:spacing w:val="-4"/>
                            <w:kern w:val="0"/>
                            <w:sz w:val="44"/>
                            <w:szCs w:val="44"/>
                          </w:rPr>
                        </w:pPr>
                        <w:r w:rsidRPr="008D2128">
                          <w:rPr>
                            <w:rFonts w:ascii="黑体" w:eastAsia="黑体" w:hAnsi="黑体" w:cs="黑体" w:hint="eastAsia"/>
                            <w:spacing w:val="-4"/>
                            <w:kern w:val="0"/>
                            <w:sz w:val="44"/>
                            <w:szCs w:val="44"/>
                          </w:rPr>
                          <w:t>河北省人民政府办公厅</w:t>
                        </w:r>
                      </w:p>
                      <w:p w:rsidR="008D2128" w:rsidRPr="008D2128" w:rsidRDefault="008D2128" w:rsidP="008D2128">
                        <w:pPr>
                          <w:widowControl/>
                          <w:spacing w:line="580" w:lineRule="exact"/>
                          <w:jc w:val="center"/>
                          <w:rPr>
                            <w:rFonts w:ascii="黑体" w:eastAsia="黑体" w:hAnsi="黑体" w:cs="黑体" w:hint="eastAsia"/>
                            <w:spacing w:val="-4"/>
                            <w:kern w:val="0"/>
                            <w:sz w:val="44"/>
                            <w:szCs w:val="44"/>
                          </w:rPr>
                        </w:pPr>
                        <w:r w:rsidRPr="008D2128">
                          <w:rPr>
                            <w:rFonts w:ascii="黑体" w:eastAsia="黑体" w:hAnsi="黑体" w:cs="黑体" w:hint="eastAsia"/>
                            <w:spacing w:val="-4"/>
                            <w:kern w:val="0"/>
                            <w:sz w:val="44"/>
                            <w:szCs w:val="44"/>
                          </w:rPr>
                          <w:t>关于公开河北省市场主体行政审批</w:t>
                        </w:r>
                      </w:p>
                      <w:p w:rsidR="008D2128" w:rsidRPr="008D2128" w:rsidRDefault="008D2128" w:rsidP="008D2128">
                        <w:pPr>
                          <w:widowControl/>
                          <w:spacing w:line="580" w:lineRule="exact"/>
                          <w:jc w:val="center"/>
                          <w:rPr>
                            <w:rFonts w:ascii="黑体" w:eastAsia="黑体" w:hAnsi="黑体" w:cs="黑体" w:hint="eastAsia"/>
                            <w:spacing w:val="-4"/>
                            <w:kern w:val="0"/>
                            <w:sz w:val="44"/>
                            <w:szCs w:val="44"/>
                          </w:rPr>
                        </w:pPr>
                        <w:r w:rsidRPr="008D2128">
                          <w:rPr>
                            <w:rFonts w:ascii="黑体" w:eastAsia="黑体" w:hAnsi="黑体" w:cs="黑体" w:hint="eastAsia"/>
                            <w:spacing w:val="-4"/>
                            <w:kern w:val="0"/>
                            <w:sz w:val="44"/>
                            <w:szCs w:val="44"/>
                          </w:rPr>
                          <w:t>后续监管清单的通知</w:t>
                        </w:r>
                      </w:p>
                      <w:p w:rsidR="008D2128" w:rsidRPr="008D2128" w:rsidRDefault="008D2128" w:rsidP="008D2128">
                        <w:pPr>
                          <w:widowControl/>
                          <w:spacing w:line="580" w:lineRule="exact"/>
                          <w:jc w:val="left"/>
                          <w:rPr>
                            <w:rFonts w:ascii="仿宋_GB2312" w:eastAsia="仿宋_GB2312" w:hAnsi="仿宋" w:cs="仿宋" w:hint="eastAsia"/>
                            <w:spacing w:val="-4"/>
                            <w:kern w:val="0"/>
                            <w:sz w:val="32"/>
                            <w:szCs w:val="32"/>
                          </w:rPr>
                        </w:pPr>
                      </w:p>
                      <w:p w:rsidR="008D2128" w:rsidRPr="008D2128" w:rsidRDefault="008D2128" w:rsidP="008D2128">
                        <w:pPr>
                          <w:widowControl/>
                          <w:spacing w:line="580" w:lineRule="exact"/>
                          <w:jc w:val="left"/>
                          <w:rPr>
                            <w:rFonts w:ascii="仿宋_GB2312" w:eastAsia="仿宋_GB2312" w:hAnsi="仿宋" w:cs="仿宋" w:hint="eastAsia"/>
                            <w:spacing w:val="-4"/>
                            <w:kern w:val="0"/>
                            <w:sz w:val="32"/>
                            <w:szCs w:val="32"/>
                          </w:rPr>
                        </w:pPr>
                        <w:r w:rsidRPr="008D2128">
                          <w:rPr>
                            <w:rFonts w:ascii="仿宋_GB2312" w:eastAsia="仿宋_GB2312" w:hAnsi="仿宋" w:cs="仿宋" w:hint="eastAsia"/>
                            <w:spacing w:val="-4"/>
                            <w:kern w:val="0"/>
                            <w:sz w:val="32"/>
                            <w:szCs w:val="32"/>
                          </w:rPr>
                          <w:t>各设区市人民政府，定州、辛集市人民政府，省政府各部门：</w:t>
                        </w:r>
                      </w:p>
                      <w:p w:rsidR="008D2128" w:rsidRPr="008D2128" w:rsidRDefault="008D2128" w:rsidP="008D2128">
                        <w:pPr>
                          <w:widowControl/>
                          <w:spacing w:line="580" w:lineRule="exact"/>
                          <w:jc w:val="left"/>
                          <w:rPr>
                            <w:rFonts w:ascii="仿宋_GB2312" w:eastAsia="仿宋_GB2312" w:hAnsi="仿宋" w:cs="仿宋" w:hint="eastAsia"/>
                            <w:spacing w:val="-4"/>
                            <w:kern w:val="0"/>
                            <w:sz w:val="32"/>
                            <w:szCs w:val="32"/>
                          </w:rPr>
                        </w:pPr>
                        <w:r w:rsidRPr="008D2128">
                          <w:rPr>
                            <w:rFonts w:ascii="仿宋_GB2312" w:eastAsia="仿宋_GB2312" w:hAnsi="仿宋" w:cs="仿宋" w:hint="eastAsia"/>
                            <w:spacing w:val="-4"/>
                            <w:kern w:val="0"/>
                            <w:sz w:val="32"/>
                            <w:szCs w:val="32"/>
                          </w:rPr>
                          <w:t xml:space="preserve">    为深入推进行政审批制度改革，加快政府职能转变，经省政府常务会议研究决定，向社会公开河北省市场主体行政审批后续监管清单，接受社会监督。现就有关要求通知如下:</w:t>
                        </w:r>
                      </w:p>
                      <w:p w:rsidR="008D2128" w:rsidRPr="008D2128" w:rsidRDefault="008D2128" w:rsidP="008D2128">
                        <w:pPr>
                          <w:widowControl/>
                          <w:spacing w:line="580" w:lineRule="exact"/>
                          <w:jc w:val="left"/>
                          <w:rPr>
                            <w:rFonts w:ascii="仿宋_GB2312" w:eastAsia="仿宋_GB2312" w:hAnsi="仿宋" w:cs="仿宋" w:hint="eastAsia"/>
                            <w:spacing w:val="-4"/>
                            <w:kern w:val="0"/>
                            <w:sz w:val="32"/>
                            <w:szCs w:val="32"/>
                          </w:rPr>
                        </w:pPr>
                        <w:r w:rsidRPr="008D2128">
                          <w:rPr>
                            <w:rFonts w:ascii="仿宋_GB2312" w:eastAsia="仿宋_GB2312" w:hAnsi="仿宋" w:cs="仿宋" w:hint="eastAsia"/>
                            <w:spacing w:val="-4"/>
                            <w:kern w:val="0"/>
                            <w:sz w:val="32"/>
                            <w:szCs w:val="32"/>
                          </w:rPr>
                          <w:t xml:space="preserve">   </w:t>
                        </w:r>
                        <w:r w:rsidRPr="008D2128">
                          <w:rPr>
                            <w:rFonts w:ascii="黑体" w:eastAsia="黑体" w:hAnsi="仿宋" w:cs="仿宋" w:hint="eastAsia"/>
                            <w:spacing w:val="-4"/>
                            <w:kern w:val="0"/>
                            <w:sz w:val="32"/>
                            <w:szCs w:val="32"/>
                          </w:rPr>
                          <w:t xml:space="preserve"> 一、公开监管清单。</w:t>
                        </w:r>
                        <w:r w:rsidRPr="008D2128">
                          <w:rPr>
                            <w:rFonts w:ascii="仿宋_GB2312" w:eastAsia="仿宋_GB2312" w:hAnsi="仿宋" w:cs="仿宋" w:hint="eastAsia"/>
                            <w:spacing w:val="-4"/>
                            <w:kern w:val="0"/>
                            <w:sz w:val="32"/>
                            <w:szCs w:val="32"/>
                          </w:rPr>
                          <w:t>本通知下发后10日内，省政府各部门要在本部门门户网站公开本部门的市场主体行政审批后续监管清单。公开内容包括：项目编码、审批事项名称、监管法律法规依据、监管部门、行业主管部门。同时，</w:t>
                        </w:r>
                        <w:r w:rsidRPr="008D2128">
                          <w:rPr>
                            <w:rFonts w:ascii="仿宋_GB2312" w:eastAsia="仿宋_GB2312" w:hAnsi="宋体" w:cs="宋体" w:hint="eastAsia"/>
                            <w:spacing w:val="-4"/>
                            <w:kern w:val="0"/>
                            <w:sz w:val="32"/>
                            <w:szCs w:val="32"/>
                          </w:rPr>
                          <w:t>省工商局、省编委办分别在省工商局门户网站和河北机构编制网公开汇总清单，省政府门户网站适时</w:t>
                        </w:r>
                        <w:r w:rsidRPr="008D2128">
                          <w:rPr>
                            <w:rFonts w:ascii="仿宋_GB2312" w:eastAsia="仿宋_GB2312" w:hAnsi="仿宋" w:cs="仿宋" w:hint="eastAsia"/>
                            <w:spacing w:val="-4"/>
                            <w:kern w:val="0"/>
                            <w:sz w:val="32"/>
                            <w:szCs w:val="32"/>
                          </w:rPr>
                          <w:t>公开汇总清单。</w:t>
                        </w:r>
                      </w:p>
                      <w:p w:rsidR="008D2128" w:rsidRPr="008D2128" w:rsidRDefault="008D2128" w:rsidP="008D2128">
                        <w:pPr>
                          <w:widowControl/>
                          <w:spacing w:line="580" w:lineRule="exact"/>
                          <w:ind w:firstLineChars="200" w:firstLine="624"/>
                          <w:jc w:val="left"/>
                          <w:rPr>
                            <w:rFonts w:ascii="仿宋_GB2312" w:eastAsia="仿宋_GB2312" w:hAnsi="仿宋" w:cs="仿宋" w:hint="eastAsia"/>
                            <w:spacing w:val="-4"/>
                            <w:kern w:val="0"/>
                            <w:sz w:val="32"/>
                            <w:szCs w:val="32"/>
                          </w:rPr>
                        </w:pPr>
                        <w:r w:rsidRPr="008D2128">
                          <w:rPr>
                            <w:rFonts w:ascii="黑体" w:eastAsia="黑体" w:hAnsi="仿宋" w:cs="仿宋" w:hint="eastAsia"/>
                            <w:spacing w:val="-4"/>
                            <w:kern w:val="0"/>
                            <w:sz w:val="32"/>
                            <w:szCs w:val="32"/>
                          </w:rPr>
                          <w:t>二、认真履行职责。</w:t>
                        </w:r>
                        <w:r w:rsidRPr="008D2128">
                          <w:rPr>
                            <w:rFonts w:ascii="仿宋_GB2312" w:eastAsia="仿宋_GB2312" w:hAnsi="仿宋" w:cs="仿宋" w:hint="eastAsia"/>
                            <w:spacing w:val="-4"/>
                            <w:kern w:val="0"/>
                            <w:sz w:val="32"/>
                            <w:szCs w:val="32"/>
                          </w:rPr>
                          <w:t>省政府各部门要按照监管清单中的内容履行职责，建立并落实信用分类监管、协同监管、监管信息共享、信用约束、行业自律和社会监督以及监管记录制度等，不断加强后续监管。</w:t>
                        </w:r>
                      </w:p>
                      <w:p w:rsidR="008D2128" w:rsidRPr="008D2128" w:rsidRDefault="008D2128" w:rsidP="008D2128">
                        <w:pPr>
                          <w:widowControl/>
                          <w:spacing w:line="580" w:lineRule="exact"/>
                          <w:ind w:firstLineChars="200" w:firstLine="624"/>
                          <w:jc w:val="left"/>
                          <w:rPr>
                            <w:rFonts w:ascii="仿宋_GB2312" w:eastAsia="仿宋_GB2312" w:hAnsi="仿宋" w:cs="仿宋" w:hint="eastAsia"/>
                            <w:spacing w:val="-4"/>
                            <w:kern w:val="0"/>
                            <w:sz w:val="32"/>
                            <w:szCs w:val="32"/>
                          </w:rPr>
                        </w:pPr>
                        <w:r w:rsidRPr="008D2128">
                          <w:rPr>
                            <w:rFonts w:ascii="黑体" w:eastAsia="黑体" w:hAnsi="仿宋" w:cs="仿宋" w:hint="eastAsia"/>
                            <w:spacing w:val="-4"/>
                            <w:kern w:val="0"/>
                            <w:sz w:val="32"/>
                            <w:szCs w:val="32"/>
                          </w:rPr>
                          <w:t>三、实施动态管理。</w:t>
                        </w:r>
                        <w:r w:rsidRPr="008D2128">
                          <w:rPr>
                            <w:rFonts w:ascii="仿宋_GB2312" w:eastAsia="仿宋_GB2312" w:hAnsi="仿宋" w:cs="仿宋" w:hint="eastAsia"/>
                            <w:spacing w:val="-4"/>
                            <w:kern w:val="0"/>
                            <w:sz w:val="32"/>
                            <w:szCs w:val="32"/>
                          </w:rPr>
                          <w:t>省政府各部门</w:t>
                        </w:r>
                        <w:r w:rsidRPr="008D2128">
                          <w:rPr>
                            <w:rFonts w:ascii="仿宋_GB2312" w:eastAsia="仿宋_GB2312" w:hAnsi="宋体" w:cs="宋体" w:hint="eastAsia"/>
                            <w:spacing w:val="-4"/>
                            <w:kern w:val="0"/>
                            <w:sz w:val="32"/>
                            <w:szCs w:val="32"/>
                          </w:rPr>
                          <w:t>对监管清单要实施动态管理，结合国务院和我省取消下放行政审批事项工作进展情况</w:t>
                        </w:r>
                        <w:r w:rsidRPr="008D2128">
                          <w:rPr>
                            <w:rFonts w:ascii="仿宋_GB2312" w:eastAsia="仿宋_GB2312" w:hAnsi="仿宋" w:cs="仿宋" w:hint="eastAsia"/>
                            <w:spacing w:val="-4"/>
                            <w:kern w:val="0"/>
                            <w:sz w:val="32"/>
                            <w:szCs w:val="32"/>
                          </w:rPr>
                          <w:t>，不断修改完善监</w:t>
                        </w:r>
                        <w:r w:rsidRPr="008D2128">
                          <w:rPr>
                            <w:rFonts w:ascii="仿宋_GB2312" w:eastAsia="仿宋_GB2312" w:hAnsi="仿宋" w:cs="仿宋" w:hint="eastAsia"/>
                            <w:spacing w:val="-4"/>
                            <w:kern w:val="0"/>
                            <w:sz w:val="32"/>
                            <w:szCs w:val="32"/>
                          </w:rPr>
                          <w:lastRenderedPageBreak/>
                          <w:t>管清单并及时向社会公开。</w:t>
                        </w:r>
                      </w:p>
                      <w:p w:rsidR="008D2128" w:rsidRPr="008D2128" w:rsidRDefault="008D2128" w:rsidP="008D2128">
                        <w:pPr>
                          <w:widowControl/>
                          <w:spacing w:line="580" w:lineRule="exact"/>
                          <w:ind w:firstLineChars="200" w:firstLine="624"/>
                          <w:jc w:val="left"/>
                          <w:rPr>
                            <w:rFonts w:ascii="仿宋_GB2312" w:eastAsia="仿宋_GB2312" w:hAnsi="仿宋" w:cs="仿宋" w:hint="eastAsia"/>
                            <w:spacing w:val="-4"/>
                            <w:kern w:val="0"/>
                            <w:sz w:val="32"/>
                            <w:szCs w:val="32"/>
                          </w:rPr>
                        </w:pPr>
                        <w:r w:rsidRPr="008D2128">
                          <w:rPr>
                            <w:rFonts w:ascii="黑体" w:eastAsia="黑体" w:hAnsi="仿宋" w:cs="仿宋" w:hint="eastAsia"/>
                            <w:spacing w:val="-4"/>
                            <w:kern w:val="0"/>
                            <w:sz w:val="32"/>
                            <w:szCs w:val="32"/>
                          </w:rPr>
                          <w:t>四、维护市场秩序。</w:t>
                        </w:r>
                        <w:r w:rsidRPr="008D2128">
                          <w:rPr>
                            <w:rFonts w:ascii="仿宋_GB2312" w:eastAsia="仿宋_GB2312" w:hAnsi="仿宋" w:cs="仿宋" w:hint="eastAsia"/>
                            <w:spacing w:val="-4"/>
                            <w:kern w:val="0"/>
                            <w:sz w:val="32"/>
                            <w:szCs w:val="32"/>
                          </w:rPr>
                          <w:t>各市、县（市、区）政府及其部门要按照属地监管原则对监管清单中的审批事项依法履行监管职责，共同维护市场秩序。对未列入省级清单、由市、县（市、区）实施的涉及市场经营主体的行政审批事项，要参照省级监管清单，编制公开后续监管清单，切实履行监管职责。</w:t>
                        </w:r>
                      </w:p>
                      <w:p w:rsidR="008D2128" w:rsidRPr="008D2128" w:rsidRDefault="008D2128" w:rsidP="008D2128">
                        <w:pPr>
                          <w:widowControl/>
                          <w:spacing w:line="580" w:lineRule="exact"/>
                          <w:ind w:firstLineChars="200" w:firstLine="624"/>
                          <w:jc w:val="left"/>
                          <w:rPr>
                            <w:rFonts w:ascii="仿宋_GB2312" w:eastAsia="仿宋_GB2312" w:hAnsi="仿宋" w:cs="仿宋" w:hint="eastAsia"/>
                            <w:spacing w:val="-4"/>
                            <w:kern w:val="0"/>
                            <w:sz w:val="32"/>
                            <w:szCs w:val="32"/>
                          </w:rPr>
                        </w:pPr>
                      </w:p>
                      <w:p w:rsidR="008D2128" w:rsidRPr="008D2128" w:rsidRDefault="008D2128" w:rsidP="008D2128">
                        <w:pPr>
                          <w:widowControl/>
                          <w:spacing w:line="580" w:lineRule="exact"/>
                          <w:ind w:firstLineChars="200" w:firstLine="624"/>
                          <w:jc w:val="left"/>
                          <w:rPr>
                            <w:rFonts w:ascii="仿宋_GB2312" w:eastAsia="仿宋_GB2312" w:hAnsi="仿宋" w:cs="仿宋" w:hint="eastAsia"/>
                            <w:spacing w:val="-4"/>
                            <w:kern w:val="0"/>
                            <w:sz w:val="32"/>
                            <w:szCs w:val="32"/>
                          </w:rPr>
                        </w:pPr>
                      </w:p>
                      <w:p w:rsidR="008D2128" w:rsidRPr="008D2128" w:rsidRDefault="008D2128" w:rsidP="008D2128">
                        <w:pPr>
                          <w:widowControl/>
                          <w:spacing w:line="580" w:lineRule="exact"/>
                          <w:ind w:leftChars="296" w:left="5614" w:hangingChars="1600" w:hanging="4992"/>
                          <w:jc w:val="left"/>
                          <w:rPr>
                            <w:rFonts w:ascii="宋体" w:eastAsia="宋体" w:hAnsi="宋体" w:cs="宋体" w:hint="eastAsia"/>
                            <w:kern w:val="0"/>
                            <w:sz w:val="24"/>
                            <w:szCs w:val="24"/>
                          </w:rPr>
                        </w:pPr>
                        <w:r w:rsidRPr="008D2128">
                          <w:rPr>
                            <w:rFonts w:ascii="仿宋_GB2312" w:eastAsia="仿宋_GB2312" w:hAnsi="仿宋" w:cs="仿宋" w:hint="eastAsia"/>
                            <w:spacing w:val="-4"/>
                            <w:kern w:val="0"/>
                            <w:sz w:val="32"/>
                            <w:szCs w:val="32"/>
                          </w:rPr>
                          <w:t xml:space="preserve">                                  2014年12月26日</w:t>
                        </w:r>
                      </w:p>
                      <w:p w:rsidR="008D2128" w:rsidRPr="008D2128" w:rsidRDefault="008D2128" w:rsidP="008D2128">
                        <w:pPr>
                          <w:widowControl/>
                          <w:spacing w:line="580" w:lineRule="exact"/>
                          <w:ind w:leftChars="296" w:left="4462" w:hangingChars="1600" w:hanging="3840"/>
                          <w:jc w:val="left"/>
                          <w:rPr>
                            <w:rFonts w:ascii="仿宋_GB2312" w:eastAsia="仿宋_GB2312" w:hAnsi="仿宋" w:cs="仿宋"/>
                            <w:spacing w:val="-4"/>
                            <w:kern w:val="0"/>
                            <w:sz w:val="32"/>
                            <w:szCs w:val="32"/>
                          </w:rPr>
                        </w:pPr>
                        <w:r w:rsidRPr="008D2128">
                          <w:rPr>
                            <w:rFonts w:ascii="宋体" w:eastAsia="宋体" w:hAnsi="宋体" w:cs="宋体"/>
                            <w:kern w:val="0"/>
                            <w:sz w:val="24"/>
                            <w:szCs w:val="24"/>
                          </w:rPr>
                          <w:t> </w:t>
                        </w:r>
                      </w:p>
                      <w:p w:rsidR="008D2128" w:rsidRPr="008D2128" w:rsidRDefault="008D2128" w:rsidP="008D2128">
                        <w:pPr>
                          <w:widowControl/>
                          <w:adjustRightInd w:val="0"/>
                          <w:snapToGrid w:val="0"/>
                          <w:spacing w:line="580" w:lineRule="atLeast"/>
                          <w:jc w:val="left"/>
                          <w:rPr>
                            <w:rFonts w:ascii="仿宋_GB2312" w:eastAsia="仿宋_GB2312" w:hAnsi="仿宋" w:cs="仿宋" w:hint="eastAsia"/>
                            <w:snapToGrid w:val="0"/>
                            <w:spacing w:val="-4"/>
                            <w:kern w:val="0"/>
                            <w:sz w:val="32"/>
                            <w:szCs w:val="32"/>
                          </w:rPr>
                        </w:pPr>
                        <w:hyperlink r:id="rId6" w:history="1">
                          <w:r w:rsidRPr="008D2128">
                            <w:rPr>
                              <w:rFonts w:ascii="仿宋_GB2312" w:eastAsia="仿宋_GB2312" w:hAnsi="仿宋" w:cs="仿宋" w:hint="eastAsia"/>
                              <w:snapToGrid w:val="0"/>
                              <w:color w:val="666666"/>
                              <w:spacing w:val="-4"/>
                              <w:kern w:val="0"/>
                              <w:sz w:val="32"/>
                            </w:rPr>
                            <w:t>河北省市场主体行政审批后续监管清单</w:t>
                          </w:r>
                        </w:hyperlink>
                      </w:p>
                      <w:p w:rsidR="008D2128" w:rsidRPr="008D2128" w:rsidRDefault="008D2128" w:rsidP="008D2128">
                        <w:pPr>
                          <w:widowControl/>
                          <w:spacing w:line="360" w:lineRule="auto"/>
                          <w:jc w:val="left"/>
                          <w:rPr>
                            <w:rFonts w:ascii="宋体" w:eastAsia="宋体" w:hAnsi="宋体" w:cs="宋体"/>
                            <w:kern w:val="0"/>
                            <w:sz w:val="24"/>
                            <w:szCs w:val="24"/>
                          </w:rPr>
                        </w:pPr>
                      </w:p>
                    </w:tc>
                    <w:tc>
                      <w:tcPr>
                        <w:tcW w:w="1200" w:type="dxa"/>
                        <w:vAlign w:val="center"/>
                        <w:hideMark/>
                      </w:tcPr>
                      <w:p w:rsidR="008D2128" w:rsidRPr="008D2128" w:rsidRDefault="008D2128" w:rsidP="008D2128">
                        <w:pPr>
                          <w:widowControl/>
                          <w:spacing w:line="360" w:lineRule="auto"/>
                          <w:jc w:val="left"/>
                          <w:rPr>
                            <w:rFonts w:ascii="宋体" w:eastAsia="宋体" w:hAnsi="宋体" w:cs="宋体"/>
                            <w:kern w:val="0"/>
                            <w:sz w:val="18"/>
                            <w:szCs w:val="18"/>
                          </w:rPr>
                        </w:pPr>
                      </w:p>
                    </w:tc>
                  </w:tr>
                </w:tbl>
                <w:p w:rsidR="008D2128" w:rsidRPr="008D2128" w:rsidRDefault="008D2128" w:rsidP="008D2128">
                  <w:pPr>
                    <w:widowControl/>
                    <w:wordWrap w:val="0"/>
                    <w:spacing w:line="360" w:lineRule="auto"/>
                    <w:jc w:val="left"/>
                    <w:rPr>
                      <w:rFonts w:ascii="宋体" w:eastAsia="宋体" w:hAnsi="宋体" w:cs="宋体"/>
                      <w:kern w:val="0"/>
                      <w:sz w:val="18"/>
                      <w:szCs w:val="18"/>
                    </w:rPr>
                  </w:pPr>
                </w:p>
              </w:tc>
            </w:tr>
          </w:tbl>
          <w:p w:rsidR="008D2128" w:rsidRPr="008D2128" w:rsidRDefault="008D2128" w:rsidP="008D2128">
            <w:pPr>
              <w:widowControl/>
              <w:spacing w:line="360" w:lineRule="auto"/>
              <w:jc w:val="left"/>
              <w:rPr>
                <w:rFonts w:ascii="宋体" w:eastAsia="宋体" w:hAnsi="宋体" w:cs="宋体"/>
                <w:kern w:val="0"/>
                <w:sz w:val="18"/>
                <w:szCs w:val="18"/>
              </w:rPr>
            </w:pPr>
          </w:p>
        </w:tc>
      </w:tr>
      <w:tr w:rsidR="008D2128" w:rsidRPr="008D2128">
        <w:trPr>
          <w:tblCellSpacing w:w="0" w:type="dxa"/>
          <w:jc w:val="center"/>
        </w:trPr>
        <w:tc>
          <w:tcPr>
            <w:tcW w:w="0" w:type="auto"/>
            <w:vAlign w:val="center"/>
            <w:hideMark/>
          </w:tcPr>
          <w:p w:rsidR="008D2128" w:rsidRPr="008D2128" w:rsidRDefault="008D2128" w:rsidP="008D2128">
            <w:pPr>
              <w:widowControl/>
              <w:spacing w:line="360" w:lineRule="auto"/>
              <w:jc w:val="left"/>
              <w:rPr>
                <w:rFonts w:ascii="宋体" w:eastAsia="宋体" w:hAnsi="宋体" w:cs="宋体"/>
                <w:kern w:val="0"/>
                <w:sz w:val="18"/>
                <w:szCs w:val="18"/>
              </w:rPr>
            </w:pPr>
            <w:r w:rsidRPr="008D2128">
              <w:rPr>
                <w:rFonts w:ascii="宋体" w:eastAsia="宋体" w:hAnsi="宋体" w:cs="宋体" w:hint="eastAsia"/>
                <w:kern w:val="0"/>
                <w:sz w:val="18"/>
                <w:szCs w:val="18"/>
              </w:rPr>
              <w:lastRenderedPageBreak/>
              <w:t> </w:t>
            </w:r>
          </w:p>
        </w:tc>
      </w:tr>
    </w:tbl>
    <w:p w:rsidR="00E56D35" w:rsidRDefault="00E56D35"/>
    <w:sectPr w:rsidR="00E56D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D35" w:rsidRDefault="00E56D35" w:rsidP="008D2128">
      <w:r>
        <w:separator/>
      </w:r>
    </w:p>
  </w:endnote>
  <w:endnote w:type="continuationSeparator" w:id="1">
    <w:p w:rsidR="00E56D35" w:rsidRDefault="00E56D35" w:rsidP="008D21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D35" w:rsidRDefault="00E56D35" w:rsidP="008D2128">
      <w:r>
        <w:separator/>
      </w:r>
    </w:p>
  </w:footnote>
  <w:footnote w:type="continuationSeparator" w:id="1">
    <w:p w:rsidR="00E56D35" w:rsidRDefault="00E56D35" w:rsidP="008D21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2128"/>
    <w:rsid w:val="008D2128"/>
    <w:rsid w:val="00E56D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21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2128"/>
    <w:rPr>
      <w:sz w:val="18"/>
      <w:szCs w:val="18"/>
    </w:rPr>
  </w:style>
  <w:style w:type="paragraph" w:styleId="a4">
    <w:name w:val="footer"/>
    <w:basedOn w:val="a"/>
    <w:link w:val="Char0"/>
    <w:uiPriority w:val="99"/>
    <w:semiHidden/>
    <w:unhideWhenUsed/>
    <w:rsid w:val="008D21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2128"/>
    <w:rPr>
      <w:sz w:val="18"/>
      <w:szCs w:val="18"/>
    </w:rPr>
  </w:style>
  <w:style w:type="character" w:styleId="a5">
    <w:name w:val="Hyperlink"/>
    <w:basedOn w:val="a0"/>
    <w:uiPriority w:val="99"/>
    <w:semiHidden/>
    <w:unhideWhenUsed/>
    <w:rsid w:val="008D2128"/>
    <w:rPr>
      <w:strike w:val="0"/>
      <w:dstrike w:val="0"/>
      <w:color w:val="666666"/>
      <w:u w:val="none"/>
      <w:effect w:val="none"/>
    </w:rPr>
  </w:style>
  <w:style w:type="character" w:styleId="a6">
    <w:name w:val="Strong"/>
    <w:basedOn w:val="a0"/>
    <w:uiPriority w:val="22"/>
    <w:qFormat/>
    <w:rsid w:val="008D212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gs.gov.cn/yw/yp/UploadFiles/%E6%B2%B3%E5%8C%97%E7%9C%81%E5%B8%82%E5%9C%BA%E4%B8%BB%E4%BD%93%E8%A1%8C%E6%94%BF%E5%AE%A1%E6%89%B9%E5%90%8E%E7%BB%AD%E7%9B%91%E7%AE%A1%E6%B8%85%E5%8D%95(2014%E7%89%88)%20%E6%9C%80%E7%BB%88%E7%89%88.xl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897</Characters>
  <Application>Microsoft Office Word</Application>
  <DocSecurity>0</DocSecurity>
  <Lines>7</Lines>
  <Paragraphs>2</Paragraphs>
  <ScaleCrop>false</ScaleCrop>
  <Company>河北卓越科技</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zhouxiaokang</dc:creator>
  <cp:keywords/>
  <dc:description/>
  <cp:lastModifiedBy>zhouxiaokang</cp:lastModifiedBy>
  <cp:revision>2</cp:revision>
  <dcterms:created xsi:type="dcterms:W3CDTF">2015-12-23T06:08:00Z</dcterms:created>
  <dcterms:modified xsi:type="dcterms:W3CDTF">2015-12-23T06:08:00Z</dcterms:modified>
</cp:coreProperties>
</file>