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sz w:val="72"/>
          <w:szCs w:val="72"/>
          <w14:shadow w14:blurRad="60007" w14:dist="200025" w14:dir="15000000" w14:sx="100000" w14:sy="30000" w14:kx="-1800000" w14:ky="0" w14:algn="bl">
            <w14:srgbClr w14:val="000000">
              <w14:alpha w14:val="68000"/>
            </w14:srgbClr>
          </w14:shadow>
        </w:rPr>
      </w:pPr>
    </w:p>
    <w:p>
      <w:pPr>
        <w:widowControl/>
        <w:jc w:val="center"/>
        <w:rPr>
          <w:rFonts w:hAnsi="宋体" w:asciiTheme="minorEastAsia" w:eastAsiaTheme="minorEastAsia"/>
          <w:color w:val="002060"/>
          <w:sz w:val="84"/>
          <w:szCs w:val="84"/>
          <w14:textOutline w14:w="5270" w14:cap="flat" w14:cmpd="sng" w14:algn="ctr">
            <w14:solidFill>
              <w14:srgbClr w14:val="7D7D7D">
                <w14:tint w14:val="100000"/>
                <w14:shade w14:val="100000"/>
                <w14:satMod w14:val="110000"/>
              </w14:srgbClr>
            </w14:solidFill>
            <w14:prstDash w14:val="solid"/>
            <w14:round/>
          </w14:textOutline>
        </w:rPr>
      </w:pPr>
      <w:r>
        <w:rPr>
          <w:rFonts w:hint="eastAsia" w:hAnsi="宋体" w:asciiTheme="minorEastAsia" w:eastAsiaTheme="minorEastAsia"/>
          <w:color w:val="002060"/>
          <w:sz w:val="84"/>
          <w:szCs w:val="84"/>
          <w14:textOutline w14:w="5270" w14:cap="flat" w14:cmpd="sng" w14:algn="ctr">
            <w14:solidFill>
              <w14:srgbClr w14:val="7D7D7D">
                <w14:tint w14:val="100000"/>
                <w14:shade w14:val="100000"/>
                <w14:satMod w14:val="110000"/>
              </w14:srgbClr>
            </w14:solidFill>
            <w14:prstDash w14:val="solid"/>
            <w14:round/>
          </w14:textOutline>
        </w:rPr>
        <w:t>2017年度部门决算公开</w:t>
      </w: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hint="eastAsia" w:ascii="宋体" w:hAnsi="宋体"/>
          <w:b/>
          <w:sz w:val="44"/>
          <w:szCs w:val="44"/>
          <w:lang w:eastAsia="zh-CN"/>
        </w:rPr>
      </w:pPr>
      <w:r>
        <w:rPr>
          <w:rFonts w:hint="eastAsia" w:ascii="宋体" w:hAnsi="宋体"/>
          <w:b/>
          <w:sz w:val="44"/>
          <w:szCs w:val="44"/>
          <w:lang w:eastAsia="zh-CN"/>
        </w:rPr>
        <w:t>高邑县机构编制委员会办公室</w:t>
      </w:r>
    </w:p>
    <w:p>
      <w:pPr>
        <w:widowControl/>
        <w:jc w:val="center"/>
        <w:rPr>
          <w:rFonts w:ascii="宋体" w:hAnsi="宋体"/>
          <w:b/>
          <w:sz w:val="44"/>
          <w:szCs w:val="44"/>
        </w:rPr>
      </w:pPr>
      <w:r>
        <w:rPr>
          <w:rFonts w:hint="eastAsia" w:ascii="宋体" w:hAnsi="宋体"/>
          <w:b/>
          <w:sz w:val="44"/>
          <w:szCs w:val="44"/>
        </w:rPr>
        <w:t>2018年</w:t>
      </w:r>
      <w:r>
        <w:rPr>
          <w:rFonts w:hint="eastAsia" w:ascii="宋体" w:hAnsi="宋体"/>
          <w:b/>
          <w:sz w:val="44"/>
          <w:szCs w:val="44"/>
          <w:lang w:val="en-US" w:eastAsia="zh-CN"/>
        </w:rPr>
        <w:t>10</w:t>
      </w:r>
      <w:r>
        <w:rPr>
          <w:rFonts w:hint="eastAsia" w:ascii="宋体" w:hAnsi="宋体"/>
          <w:b/>
          <w:sz w:val="44"/>
          <w:szCs w:val="44"/>
        </w:rPr>
        <w:t>月1</w:t>
      </w:r>
      <w:r>
        <w:rPr>
          <w:rFonts w:hint="eastAsia" w:ascii="宋体" w:hAnsi="宋体"/>
          <w:b/>
          <w:sz w:val="44"/>
          <w:szCs w:val="44"/>
          <w:lang w:val="en-US" w:eastAsia="zh-CN"/>
        </w:rPr>
        <w:t>0</w:t>
      </w:r>
      <w:r>
        <w:rPr>
          <w:rFonts w:hint="eastAsia" w:ascii="宋体" w:hAnsi="宋体"/>
          <w:b/>
          <w:sz w:val="44"/>
          <w:szCs w:val="44"/>
        </w:rPr>
        <w:t>日</w:t>
      </w:r>
    </w:p>
    <w:p>
      <w:pPr>
        <w:widowControl/>
        <w:spacing w:line="580" w:lineRule="exact"/>
        <w:jc w:val="center"/>
        <w:rPr>
          <w:rFonts w:eastAsia="方正小标宋_GBK"/>
          <w:sz w:val="44"/>
          <w:szCs w:val="44"/>
        </w:rPr>
      </w:pPr>
    </w:p>
    <w:p>
      <w:pPr>
        <w:widowControl/>
        <w:spacing w:line="580" w:lineRule="exact"/>
        <w:jc w:val="center"/>
        <w:rPr>
          <w:rFonts w:ascii="黑体" w:eastAsia="黑体"/>
          <w:sz w:val="44"/>
          <w:szCs w:val="44"/>
        </w:rPr>
      </w:pPr>
      <w:r>
        <w:rPr>
          <w:rFonts w:hint="eastAsia" w:ascii="黑体" w:eastAsia="黑体"/>
          <w:sz w:val="44"/>
          <w:szCs w:val="44"/>
        </w:rPr>
        <w:t>部门决算公开目录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 xml:space="preserve">第一部分 </w:t>
      </w:r>
      <w:r>
        <w:rPr>
          <w:rFonts w:hint="eastAsia" w:eastAsia="黑体"/>
          <w:sz w:val="32"/>
          <w:szCs w:val="32"/>
          <w:lang w:val="en-US" w:eastAsia="zh-CN"/>
        </w:rPr>
        <w:t xml:space="preserve">  </w:t>
      </w:r>
      <w:r>
        <w:rPr>
          <w:rFonts w:eastAsia="黑体"/>
          <w:sz w:val="32"/>
          <w:szCs w:val="32"/>
        </w:rPr>
        <w:t>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二、部门决算单位构成</w:t>
      </w:r>
    </w:p>
    <w:p>
      <w:pPr>
        <w:widowControl/>
        <w:spacing w:line="580" w:lineRule="exact"/>
        <w:ind w:firstLine="640" w:firstLineChars="200"/>
        <w:rPr>
          <w:rFonts w:eastAsia="仿宋_GB2312"/>
          <w:sz w:val="20"/>
          <w:szCs w:val="32"/>
        </w:rPr>
      </w:pPr>
      <w:r>
        <w:rPr>
          <w:rFonts w:eastAsia="黑体"/>
          <w:sz w:val="32"/>
          <w:szCs w:val="32"/>
        </w:rPr>
        <w:t>第二部分   2017年度部门决算报表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五、一般公共预算财政拨款收入支出决算表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六、一般公共预算财政拨款基本支出决算经济分类表</w:t>
      </w:r>
    </w:p>
    <w:p>
      <w:pPr>
        <w:widowControl/>
        <w:spacing w:line="580" w:lineRule="exact"/>
        <w:ind w:left="640" w:firstLine="640" w:firstLineChars="200"/>
        <w:rPr>
          <w:rFonts w:eastAsia="仿宋_GB2312"/>
          <w:sz w:val="32"/>
          <w:szCs w:val="32"/>
        </w:rPr>
      </w:pPr>
      <w:r>
        <w:rPr>
          <w:rFonts w:eastAsia="仿宋_GB2312"/>
          <w:sz w:val="32"/>
          <w:szCs w:val="32"/>
        </w:rPr>
        <w:t>七、政府性基金预算财政拨款收入支出决算表</w:t>
      </w:r>
    </w:p>
    <w:p>
      <w:pPr>
        <w:widowControl/>
        <w:spacing w:line="580" w:lineRule="exact"/>
        <w:ind w:left="640" w:firstLine="640" w:firstLineChars="200"/>
        <w:rPr>
          <w:rFonts w:eastAsia="仿宋_GB2312"/>
          <w:sz w:val="32"/>
          <w:szCs w:val="32"/>
        </w:rPr>
      </w:pPr>
      <w:r>
        <w:rPr>
          <w:rFonts w:eastAsia="仿宋_GB2312"/>
          <w:sz w:val="32"/>
          <w:szCs w:val="32"/>
        </w:rPr>
        <w:t>八、国有资本经营预算财政拨款收入支出决算表</w:t>
      </w:r>
    </w:p>
    <w:p>
      <w:pPr>
        <w:widowControl/>
        <w:spacing w:line="580" w:lineRule="exact"/>
        <w:ind w:left="640" w:firstLine="640" w:firstLineChars="200"/>
        <w:rPr>
          <w:rFonts w:eastAsia="仿宋_GB2312"/>
          <w:sz w:val="32"/>
          <w:szCs w:val="32"/>
        </w:rPr>
      </w:pPr>
      <w:r>
        <w:rPr>
          <w:rFonts w:eastAsia="仿宋_GB2312"/>
          <w:sz w:val="32"/>
          <w:szCs w:val="32"/>
        </w:rPr>
        <w:t>九、“三公”经费等相关信息统计表</w:t>
      </w:r>
    </w:p>
    <w:p>
      <w:pPr>
        <w:widowControl/>
        <w:spacing w:line="580" w:lineRule="exact"/>
        <w:ind w:left="640" w:firstLine="640" w:firstLineChars="200"/>
        <w:rPr>
          <w:rFonts w:eastAsia="仿宋_GB2312"/>
          <w:sz w:val="32"/>
          <w:szCs w:val="32"/>
        </w:rPr>
      </w:pPr>
      <w:r>
        <w:rPr>
          <w:rFonts w:eastAsia="仿宋_GB2312"/>
          <w:sz w:val="32"/>
          <w:szCs w:val="32"/>
        </w:rPr>
        <w:t>十、政府采购情况表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第三部分 2017年部门决算情况说明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五、“三公”经费支出决算情况说明</w:t>
      </w:r>
    </w:p>
    <w:p>
      <w:pPr>
        <w:widowControl/>
        <w:spacing w:line="580" w:lineRule="exact"/>
        <w:ind w:left="640" w:firstLine="640" w:firstLineChars="200"/>
        <w:rPr>
          <w:rFonts w:eastAsia="仿宋_GB2312"/>
          <w:sz w:val="32"/>
          <w:szCs w:val="32"/>
        </w:rPr>
      </w:pPr>
      <w:r>
        <w:rPr>
          <w:rFonts w:eastAsia="仿宋_GB2312"/>
          <w:sz w:val="32"/>
          <w:szCs w:val="32"/>
        </w:rPr>
        <w:t>六、预算绩效管理工作开展情况说明</w:t>
      </w:r>
    </w:p>
    <w:p>
      <w:pPr>
        <w:widowControl/>
        <w:spacing w:line="580" w:lineRule="exact"/>
        <w:ind w:left="640" w:firstLine="640" w:firstLineChars="200"/>
        <w:rPr>
          <w:rFonts w:eastAsia="仿宋_GB2312"/>
          <w:sz w:val="32"/>
          <w:szCs w:val="32"/>
        </w:rPr>
      </w:pPr>
      <w:r>
        <w:rPr>
          <w:rFonts w:eastAsia="仿宋_GB2312"/>
          <w:sz w:val="32"/>
          <w:szCs w:val="32"/>
        </w:rPr>
        <w:t>七、其他重要事项的说明</w:t>
      </w:r>
    </w:p>
    <w:p>
      <w:pPr>
        <w:widowControl/>
        <w:spacing w:line="580" w:lineRule="exact"/>
        <w:ind w:left="640" w:firstLine="1344" w:firstLineChars="420"/>
        <w:rPr>
          <w:rFonts w:eastAsia="仿宋_GB2312"/>
          <w:sz w:val="32"/>
          <w:szCs w:val="32"/>
        </w:rPr>
      </w:pPr>
      <w:r>
        <w:rPr>
          <w:rFonts w:eastAsia="仿宋_GB2312"/>
          <w:sz w:val="32"/>
          <w:szCs w:val="32"/>
        </w:rPr>
        <w:t>1.机关运行经费情况</w:t>
      </w:r>
    </w:p>
    <w:p>
      <w:pPr>
        <w:widowControl/>
        <w:spacing w:line="580" w:lineRule="exact"/>
        <w:ind w:left="640" w:firstLine="1344" w:firstLineChars="420"/>
        <w:rPr>
          <w:rFonts w:eastAsia="仿宋_GB2312"/>
          <w:sz w:val="32"/>
          <w:szCs w:val="32"/>
        </w:rPr>
      </w:pPr>
      <w:r>
        <w:rPr>
          <w:rFonts w:eastAsia="仿宋_GB2312"/>
          <w:sz w:val="32"/>
          <w:szCs w:val="32"/>
        </w:rPr>
        <w:t>2.政府采购情况</w:t>
      </w:r>
    </w:p>
    <w:p>
      <w:pPr>
        <w:widowControl/>
        <w:spacing w:line="580" w:lineRule="exact"/>
        <w:ind w:left="640" w:firstLine="1344" w:firstLineChars="420"/>
        <w:rPr>
          <w:rFonts w:eastAsia="仿宋_GB2312"/>
          <w:sz w:val="32"/>
          <w:szCs w:val="32"/>
        </w:rPr>
      </w:pPr>
      <w:r>
        <w:rPr>
          <w:rFonts w:eastAsia="仿宋_GB2312"/>
          <w:sz w:val="32"/>
          <w:szCs w:val="32"/>
        </w:rPr>
        <w:t>3.国有资产占用情况</w:t>
      </w:r>
    </w:p>
    <w:p>
      <w:pPr>
        <w:widowControl/>
        <w:spacing w:line="580" w:lineRule="exact"/>
        <w:ind w:left="640" w:firstLine="1344" w:firstLineChars="420"/>
        <w:rPr>
          <w:rFonts w:eastAsia="仿宋_GB2312"/>
          <w:sz w:val="32"/>
          <w:szCs w:val="32"/>
        </w:rPr>
      </w:pPr>
      <w:r>
        <w:rPr>
          <w:rFonts w:eastAsia="仿宋_GB2312"/>
          <w:sz w:val="32"/>
          <w:szCs w:val="32"/>
        </w:rPr>
        <w:t>4.其他需要说明的情况</w:t>
      </w:r>
    </w:p>
    <w:p>
      <w:pPr>
        <w:widowControl/>
        <w:spacing w:line="580" w:lineRule="exact"/>
        <w:ind w:firstLine="640" w:firstLineChars="200"/>
        <w:rPr>
          <w:rFonts w:eastAsia="黑体"/>
          <w:sz w:val="32"/>
          <w:szCs w:val="32"/>
        </w:rPr>
      </w:pPr>
      <w:r>
        <w:rPr>
          <w:rFonts w:eastAsia="黑体"/>
          <w:sz w:val="32"/>
          <w:szCs w:val="32"/>
        </w:rPr>
        <w:t>第四部分  名词解释</w:t>
      </w:r>
    </w:p>
    <w:p/>
    <w:p/>
    <w:p/>
    <w:p/>
    <w:p>
      <w:pPr>
        <w:pStyle w:val="2"/>
        <w:spacing w:line="560" w:lineRule="exact"/>
        <w:jc w:val="center"/>
        <w:rPr>
          <w:rFonts w:ascii="宋体" w:hAnsi="宋体" w:cs="ArialUnicodeMS"/>
          <w:color w:val="000000"/>
          <w:kern w:val="0"/>
        </w:rPr>
      </w:pPr>
      <w:r>
        <w:rPr>
          <w:rFonts w:hint="eastAsia" w:ascii="宋体" w:hAnsi="宋体" w:cs="ArialUnicodeMS"/>
          <w:color w:val="000000"/>
          <w:kern w:val="0"/>
        </w:rPr>
        <w:t>第一部分 部门概况</w:t>
      </w:r>
    </w:p>
    <w:p>
      <w:pPr>
        <w:pStyle w:val="3"/>
        <w:spacing w:before="0" w:after="0" w:line="560" w:lineRule="exact"/>
        <w:ind w:firstLine="643" w:firstLineChars="200"/>
        <w:rPr>
          <w:rFonts w:ascii="黑体" w:eastAsia="黑体" w:cs="黑体" w:hAnsiTheme="minorHAnsi"/>
          <w:kern w:val="0"/>
        </w:rPr>
      </w:pPr>
      <w:r>
        <w:rPr>
          <w:rFonts w:hint="eastAsia" w:ascii="黑体" w:eastAsia="黑体" w:cs="黑体" w:hAnsiTheme="minorHAnsi"/>
          <w:kern w:val="0"/>
        </w:rPr>
        <w:t>一、部门职责</w:t>
      </w:r>
    </w:p>
    <w:p>
      <w:pPr>
        <w:pStyle w:val="3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27" w:firstLineChars="196"/>
        <w:textAlignment w:val="auto"/>
        <w:rPr>
          <w:rFonts w:hint="eastAsia" w:ascii="仿宋_GB2312" w:eastAsia="仿宋_GB2312"/>
          <w:color w:val="000000"/>
          <w:sz w:val="32"/>
          <w:szCs w:val="32"/>
        </w:rPr>
      </w:pPr>
      <w:r>
        <w:rPr>
          <w:rFonts w:hint="eastAsia" w:ascii="仿宋_GB2312" w:hAnsi="仿宋_GB2312" w:eastAsia="仿宋_GB2312"/>
          <w:color w:val="000000"/>
          <w:sz w:val="32"/>
          <w:szCs w:val="32"/>
        </w:rPr>
        <w:t>高邑县机构编制委员会办公室</w:t>
      </w:r>
      <w:r>
        <w:rPr>
          <w:rFonts w:hint="eastAsia" w:ascii="仿宋_GB2312" w:eastAsia="仿宋_GB2312"/>
          <w:color w:val="000000"/>
          <w:sz w:val="32"/>
          <w:szCs w:val="32"/>
        </w:rPr>
        <w:t>为县机构编制委员会的常设办事机构，既是党委的工作机构，又是政府的工作机构，列党委机构序列。</w:t>
      </w:r>
      <w:r>
        <w:rPr>
          <w:rFonts w:hint="eastAsia" w:ascii="仿宋_GB2312" w:hAnsi="仿宋_GB2312" w:eastAsia="仿宋_GB2312"/>
          <w:color w:val="000000"/>
          <w:sz w:val="32"/>
          <w:szCs w:val="32"/>
        </w:rPr>
        <w:t>主要职责：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Style w:val="31"/>
          <w:rFonts w:hint="default" w:ascii="仿宋_GB2312" w:eastAsia="仿宋_GB2312"/>
          <w:sz w:val="32"/>
          <w:szCs w:val="32"/>
        </w:rPr>
        <w:t>（一）贯彻执行上级有关行政管理体制、机构改革以及机构编制管理的法律、法规、方针、政策，研究拟定实施意见并组织实施。</w:t>
      </w:r>
      <w:r>
        <w:rPr>
          <w:rFonts w:hint="eastAsia" w:ascii="仿宋_GB2312" w:eastAsia="仿宋_GB2312"/>
          <w:color w:val="000000"/>
          <w:sz w:val="32"/>
          <w:szCs w:val="32"/>
        </w:rPr>
        <w:t>管理和指导全县各党政机关，人大、政协、法院、检察院机关，人民团体机关的机构编制工作；管理和指导全县事业单位机构编制工作。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（二）研究拟定全县行政管理体制和机构改革总体方案；</w:t>
      </w:r>
      <w:r>
        <w:rPr>
          <w:rStyle w:val="31"/>
          <w:rFonts w:hint="default" w:ascii="仿宋_GB2312" w:eastAsia="仿宋_GB2312"/>
          <w:sz w:val="32"/>
          <w:szCs w:val="32"/>
        </w:rPr>
        <w:t>审核县级党政群机关和乡（镇）机构改革方案，</w:t>
      </w:r>
      <w:r>
        <w:rPr>
          <w:rFonts w:hint="eastAsia" w:ascii="仿宋_GB2312" w:eastAsia="仿宋_GB2312"/>
          <w:color w:val="000000"/>
          <w:sz w:val="32"/>
          <w:szCs w:val="32"/>
        </w:rPr>
        <w:t>指导、协调乡镇行政管理体制和机构改革以及机构编制管理工作。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（三）协调县委、县政府各部门的职能配置及其调整；协调县委各部门之间、县政府各部门之间、县委各部门与县政府各部门之间以及县直各部门与乡镇之间的职责分工。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Style w:val="31"/>
          <w:rFonts w:hint="default" w:ascii="仿宋_GB2312" w:eastAsia="仿宋_GB2312"/>
          <w:sz w:val="32"/>
          <w:szCs w:val="32"/>
        </w:rPr>
      </w:pPr>
      <w:r>
        <w:rPr>
          <w:rStyle w:val="31"/>
          <w:rFonts w:hint="default" w:ascii="仿宋_GB2312" w:eastAsia="仿宋_GB2312"/>
          <w:sz w:val="32"/>
          <w:szCs w:val="32"/>
        </w:rPr>
        <w:t>（四）</w:t>
      </w:r>
      <w:r>
        <w:rPr>
          <w:rFonts w:hint="eastAsia" w:ascii="仿宋_GB2312" w:eastAsia="仿宋_GB2312"/>
          <w:color w:val="000000"/>
          <w:sz w:val="32"/>
          <w:szCs w:val="32"/>
        </w:rPr>
        <w:t>审核县委、县政府各部门职能配置、内设机构、人员编制和领导职数；审核全县各类机关人员编制总额</w:t>
      </w:r>
      <w:r>
        <w:rPr>
          <w:rStyle w:val="31"/>
          <w:rFonts w:hint="default"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Style w:val="31"/>
          <w:rFonts w:hint="default" w:ascii="仿宋_GB2312" w:eastAsia="仿宋_GB2312"/>
          <w:sz w:val="32"/>
          <w:szCs w:val="32"/>
        </w:rPr>
      </w:pPr>
      <w:r>
        <w:rPr>
          <w:rStyle w:val="31"/>
          <w:rFonts w:hint="default" w:ascii="仿宋_GB2312" w:eastAsia="仿宋_GB2312"/>
          <w:sz w:val="32"/>
          <w:szCs w:val="32"/>
        </w:rPr>
        <w:t>（五）研究拟定全县事业单位管理体制和机构改革方案以及相配套的实施意见；审核县委、县政府各直属事业单位、部门管理的事业单位以及乡镇事业单位的机构编制方案。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sz w:val="32"/>
          <w:szCs w:val="32"/>
        </w:rPr>
      </w:pPr>
      <w:r>
        <w:rPr>
          <w:rStyle w:val="31"/>
          <w:rFonts w:hint="default" w:ascii="仿宋_GB2312" w:eastAsia="仿宋_GB2312"/>
          <w:sz w:val="32"/>
          <w:szCs w:val="32"/>
        </w:rPr>
        <w:t>（六）按照《国务院事业单位登记管理暂行条例》的有关规定，履行全县各级各类事业单位登记的行政管理职能，指导全县事业单位法人登记管理工作。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snapToGrid w:val="0"/>
          <w:color w:val="000000"/>
          <w:kern w:val="0"/>
          <w:sz w:val="32"/>
          <w:szCs w:val="32"/>
        </w:rPr>
      </w:pPr>
      <w:r>
        <w:rPr>
          <w:rStyle w:val="31"/>
          <w:rFonts w:hint="default" w:ascii="仿宋_GB2312" w:eastAsia="仿宋_GB2312"/>
          <w:sz w:val="32"/>
          <w:szCs w:val="32"/>
        </w:rPr>
        <w:t>（七）</w:t>
      </w:r>
      <w:r>
        <w:rPr>
          <w:rFonts w:hint="eastAsia" w:ascii="仿宋_GB2312" w:hAnsi="宋体" w:eastAsia="仿宋_GB2312"/>
          <w:snapToGrid w:val="0"/>
          <w:color w:val="000000"/>
          <w:kern w:val="0"/>
          <w:sz w:val="32"/>
          <w:szCs w:val="32"/>
        </w:rPr>
        <w:t>指导和协调行政审批制度改革工作；研究提出取消和保留的行政审批项目；协调落实上级取消下放的行政审批事项；负责行政审批制度改革的监督检查和综合考核评价；承担行政审批制度改革领导小组的日常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Style w:val="31"/>
          <w:rFonts w:hint="default" w:ascii="仿宋_GB2312" w:eastAsia="仿宋_GB2312"/>
          <w:sz w:val="32"/>
          <w:szCs w:val="32"/>
        </w:rPr>
      </w:pPr>
      <w:r>
        <w:rPr>
          <w:rStyle w:val="31"/>
          <w:rFonts w:hint="default" w:ascii="仿宋_GB2312" w:eastAsia="仿宋_GB2312"/>
          <w:sz w:val="32"/>
          <w:szCs w:val="32"/>
        </w:rPr>
        <w:t>（八）负责机构编制日常管理，监督检查全县行政管理体制改革、机构改革以及机构编制方案的执行情况。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Style w:val="31"/>
          <w:rFonts w:hint="default" w:ascii="仿宋_GB2312" w:eastAsia="仿宋_GB2312"/>
          <w:sz w:val="32"/>
          <w:szCs w:val="32"/>
        </w:rPr>
      </w:pPr>
      <w:r>
        <w:rPr>
          <w:rStyle w:val="31"/>
          <w:rFonts w:hint="eastAsia" w:ascii="仿宋_GB2312" w:eastAsia="仿宋_GB2312"/>
          <w:sz w:val="32"/>
          <w:szCs w:val="32"/>
          <w:lang w:eastAsia="zh-CN"/>
        </w:rPr>
        <w:t>（九）</w:t>
      </w:r>
      <w:r>
        <w:rPr>
          <w:rStyle w:val="31"/>
          <w:rFonts w:hint="default" w:ascii="仿宋_GB2312" w:eastAsia="仿宋_GB2312"/>
          <w:sz w:val="32"/>
          <w:szCs w:val="32"/>
        </w:rPr>
        <w:t>承办县委、县政府和县机构编制委员会交办的其它工作。</w:t>
      </w:r>
    </w:p>
    <w:p>
      <w:pPr>
        <w:pStyle w:val="3"/>
        <w:spacing w:before="0" w:after="0" w:line="560" w:lineRule="exact"/>
        <w:ind w:firstLine="643" w:firstLineChars="200"/>
        <w:rPr>
          <w:rFonts w:ascii="黑体" w:eastAsia="黑体" w:cs="黑体" w:hAnsiTheme="minorHAnsi"/>
          <w:kern w:val="0"/>
        </w:rPr>
      </w:pPr>
      <w:r>
        <w:rPr>
          <w:rFonts w:hint="eastAsia" w:ascii="黑体" w:eastAsia="黑体" w:cs="黑体" w:hAnsiTheme="minorHAnsi"/>
          <w:kern w:val="0"/>
        </w:rPr>
        <w:t>二、部门决算单位构成</w:t>
      </w:r>
    </w:p>
    <w:p>
      <w:pPr>
        <w:autoSpaceDE w:val="0"/>
        <w:autoSpaceDN w:val="0"/>
        <w:adjustRightInd w:val="0"/>
        <w:spacing w:after="0" w:line="560" w:lineRule="exact"/>
        <w:ind w:firstLine="640" w:firstLineChars="200"/>
        <w:jc w:val="left"/>
        <w:rPr>
          <w:rFonts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2017 年度，纳入本部门决算汇编范围的独立核算单位</w:t>
      </w:r>
    </w:p>
    <w:p>
      <w:pPr>
        <w:autoSpaceDE w:val="0"/>
        <w:autoSpaceDN w:val="0"/>
        <w:adjustRightInd w:val="0"/>
        <w:spacing w:after="0" w:line="560" w:lineRule="exact"/>
        <w:jc w:val="left"/>
        <w:rPr>
          <w:rFonts w:hint="eastAsia" w:ascii="仿宋_GB2312" w:eastAsia="仿宋_GB2312" w:cs="ArialUnicodeMS" w:hAnsiTheme="minorHAnsi"/>
          <w:kern w:val="0"/>
          <w:sz w:val="32"/>
          <w:szCs w:val="32"/>
          <w:lang w:eastAsia="zh-CN"/>
        </w:rPr>
      </w:pPr>
      <w:r>
        <w:rPr>
          <w:rFonts w:hint="eastAsia" w:ascii="仿宋_GB2312" w:eastAsia="仿宋_GB2312" w:cs="ArialUnicodeMS" w:hAnsiTheme="minorHAnsi"/>
          <w:kern w:val="0"/>
          <w:sz w:val="32"/>
          <w:szCs w:val="32"/>
        </w:rPr>
        <w:t>（以下简称“单位”）共</w:t>
      </w:r>
      <w:r>
        <w:rPr>
          <w:rFonts w:hint="eastAsia" w:ascii="仿宋_GB2312" w:eastAsia="仿宋_GB2312" w:cs="ArialUnicodeMS" w:hAnsiTheme="minorHAnsi"/>
          <w:kern w:val="0"/>
          <w:sz w:val="32"/>
          <w:szCs w:val="32"/>
          <w:lang w:val="en-US" w:eastAsia="zh-CN"/>
        </w:rPr>
        <w:t>1</w:t>
      </w:r>
      <w:r>
        <w:rPr>
          <w:rFonts w:hint="eastAsia" w:ascii="仿宋_GB2312" w:eastAsia="仿宋_GB2312" w:cs="ArialUnicodeMS" w:hAnsiTheme="minorHAnsi"/>
          <w:kern w:val="0"/>
          <w:sz w:val="32"/>
          <w:szCs w:val="32"/>
        </w:rPr>
        <w:t>个，是</w:t>
      </w:r>
      <w:r>
        <w:rPr>
          <w:rFonts w:hint="eastAsia" w:ascii="仿宋_GB2312" w:eastAsia="仿宋_GB2312" w:cs="ArialUnicodeMS" w:hAnsiTheme="minorHAnsi"/>
          <w:kern w:val="0"/>
          <w:sz w:val="32"/>
          <w:szCs w:val="32"/>
          <w:lang w:eastAsia="zh-CN"/>
        </w:rPr>
        <w:t>高邑县机构编制委员会办公室</w:t>
      </w:r>
      <w:r>
        <w:rPr>
          <w:rFonts w:hint="eastAsia" w:ascii="仿宋_GB2312" w:eastAsia="仿宋_GB2312" w:cs="ArialUnicodeMS" w:hAnsiTheme="minorHAnsi"/>
          <w:kern w:val="0"/>
          <w:sz w:val="32"/>
          <w:szCs w:val="32"/>
        </w:rPr>
        <w:t xml:space="preserve"> ，单位基本性质为</w:t>
      </w:r>
      <w:r>
        <w:rPr>
          <w:rFonts w:hint="eastAsia" w:ascii="仿宋_GB2312" w:eastAsia="仿宋_GB2312" w:cs="ArialUnicodeMS" w:hAnsiTheme="minorHAnsi"/>
          <w:kern w:val="0"/>
          <w:sz w:val="32"/>
          <w:szCs w:val="32"/>
          <w:lang w:eastAsia="zh-CN"/>
        </w:rPr>
        <w:t>行政单位</w:t>
      </w:r>
      <w:r>
        <w:rPr>
          <w:rFonts w:hint="eastAsia" w:ascii="仿宋_GB2312" w:eastAsia="仿宋_GB2312" w:cs="ArialUnicodeMS" w:hAnsiTheme="minorHAnsi"/>
          <w:kern w:val="0"/>
          <w:sz w:val="32"/>
          <w:szCs w:val="32"/>
        </w:rPr>
        <w:t>单位，预算管理级次为</w:t>
      </w:r>
      <w:r>
        <w:rPr>
          <w:rFonts w:hint="eastAsia" w:ascii="仿宋_GB2312" w:eastAsia="仿宋_GB2312" w:cs="ArialUnicodeMS" w:hAnsiTheme="minorHAnsi"/>
          <w:kern w:val="0"/>
          <w:sz w:val="32"/>
          <w:szCs w:val="32"/>
          <w:lang w:eastAsia="zh-CN"/>
        </w:rPr>
        <w:t>一</w:t>
      </w:r>
      <w:r>
        <w:rPr>
          <w:rFonts w:hint="eastAsia" w:ascii="仿宋_GB2312" w:eastAsia="仿宋_GB2312" w:cs="ArialUnicodeMS" w:hAnsiTheme="minorHAnsi"/>
          <w:kern w:val="0"/>
          <w:sz w:val="32"/>
          <w:szCs w:val="32"/>
        </w:rPr>
        <w:t>级预算单位，执行</w:t>
      </w:r>
      <w:r>
        <w:rPr>
          <w:rFonts w:hint="eastAsia" w:ascii="仿宋_GB2312" w:eastAsia="仿宋_GB2312" w:cs="ArialUnicodeMS" w:hAnsiTheme="minorHAnsi"/>
          <w:kern w:val="0"/>
          <w:sz w:val="32"/>
          <w:szCs w:val="32"/>
          <w:lang w:eastAsia="zh-CN"/>
        </w:rPr>
        <w:t>行政</w:t>
      </w:r>
      <w:r>
        <w:rPr>
          <w:rFonts w:hint="eastAsia" w:ascii="仿宋_GB2312" w:eastAsia="仿宋_GB2312" w:cs="ArialUnicodeMS" w:hAnsiTheme="minorHAnsi"/>
          <w:kern w:val="0"/>
          <w:sz w:val="32"/>
          <w:szCs w:val="32"/>
        </w:rPr>
        <w:t>单位会计制度</w:t>
      </w:r>
      <w:r>
        <w:rPr>
          <w:rFonts w:hint="eastAsia" w:ascii="仿宋_GB2312" w:eastAsia="仿宋_GB2312" w:cs="ArialUnicodeMS" w:hAnsiTheme="minorHAnsi"/>
          <w:kern w:val="0"/>
          <w:sz w:val="32"/>
          <w:szCs w:val="32"/>
          <w:lang w:eastAsia="zh-CN"/>
        </w:rPr>
        <w:t>，</w:t>
      </w:r>
      <w:r>
        <w:rPr>
          <w:rFonts w:hint="eastAsia" w:ascii="仿宋_GB2312" w:eastAsia="仿宋_GB2312" w:cs="ArialUnicodeMS" w:hAnsiTheme="minorHAnsi"/>
          <w:kern w:val="0"/>
          <w:sz w:val="32"/>
          <w:szCs w:val="32"/>
        </w:rPr>
        <w:t>较上年无增减变化。</w:t>
      </w:r>
    </w:p>
    <w:p>
      <w:pPr>
        <w:autoSpaceDE w:val="0"/>
        <w:autoSpaceDN w:val="0"/>
        <w:adjustRightInd w:val="0"/>
        <w:spacing w:after="0" w:line="560" w:lineRule="exact"/>
        <w:ind w:firstLine="640" w:firstLineChars="200"/>
        <w:jc w:val="left"/>
        <w:rPr>
          <w:rFonts w:hint="eastAsia"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lang w:eastAsia="zh-CN"/>
        </w:rPr>
        <w:t>高邑县机构编制委员会办公室有内设科室</w:t>
      </w:r>
      <w:r>
        <w:rPr>
          <w:rFonts w:hint="eastAsia" w:ascii="仿宋_GB2312" w:eastAsia="仿宋_GB2312" w:cs="ArialUnicodeMS" w:hAnsiTheme="minorHAnsi"/>
          <w:kern w:val="0"/>
          <w:sz w:val="32"/>
          <w:szCs w:val="32"/>
          <w:lang w:val="en-US" w:eastAsia="zh-CN"/>
        </w:rPr>
        <w:t>1个（综合科），</w:t>
      </w:r>
      <w:r>
        <w:rPr>
          <w:rFonts w:hint="eastAsia" w:ascii="仿宋_GB2312" w:eastAsia="仿宋_GB2312"/>
          <w:b w:val="0"/>
          <w:bCs w:val="0"/>
          <w:color w:val="000000"/>
          <w:sz w:val="32"/>
          <w:szCs w:val="32"/>
          <w:lang w:eastAsia="zh-CN"/>
        </w:rPr>
        <w:t>行政编制</w:t>
      </w:r>
      <w:r>
        <w:rPr>
          <w:rFonts w:hint="eastAsia" w:ascii="仿宋_GB2312" w:eastAsia="仿宋_GB2312"/>
          <w:b w:val="0"/>
          <w:bCs w:val="0"/>
          <w:color w:val="000000"/>
          <w:sz w:val="32"/>
          <w:szCs w:val="32"/>
          <w:lang w:val="en-US" w:eastAsia="zh-CN"/>
        </w:rPr>
        <w:t>6</w:t>
      </w:r>
      <w:bookmarkStart w:id="0" w:name="_GoBack"/>
      <w:bookmarkEnd w:id="0"/>
      <w:r>
        <w:rPr>
          <w:rFonts w:hint="eastAsia" w:ascii="仿宋_GB2312" w:eastAsia="仿宋_GB2312"/>
          <w:b w:val="0"/>
          <w:bCs w:val="0"/>
          <w:color w:val="000000"/>
          <w:sz w:val="32"/>
          <w:szCs w:val="32"/>
          <w:lang w:val="en-US" w:eastAsia="zh-CN"/>
        </w:rPr>
        <w:t>名，实有人员6人；</w:t>
      </w:r>
      <w:r>
        <w:rPr>
          <w:rFonts w:hint="eastAsia" w:ascii="仿宋_GB2312" w:hAnsi="宋体" w:eastAsia="仿宋_GB2312" w:cs="宋体"/>
          <w:b w:val="0"/>
          <w:bCs w:val="0"/>
          <w:color w:val="000000"/>
          <w:kern w:val="0"/>
          <w:sz w:val="32"/>
          <w:szCs w:val="32"/>
        </w:rPr>
        <w:t>下设1个全额拨款事业单位，</w:t>
      </w:r>
      <w:r>
        <w:rPr>
          <w:rFonts w:hint="eastAsia" w:ascii="仿宋_GB2312" w:hAnsi="宋体" w:eastAsia="仿宋_GB2312" w:cs="宋体"/>
          <w:b w:val="0"/>
          <w:bCs w:val="0"/>
          <w:color w:val="000000"/>
          <w:kern w:val="0"/>
          <w:sz w:val="32"/>
          <w:szCs w:val="32"/>
          <w:lang w:eastAsia="zh-CN"/>
        </w:rPr>
        <w:t>事业编制</w:t>
      </w:r>
      <w:r>
        <w:rPr>
          <w:rFonts w:hint="eastAsia" w:ascii="仿宋_GB2312" w:hAnsi="宋体" w:eastAsia="仿宋_GB2312" w:cs="宋体"/>
          <w:b w:val="0"/>
          <w:bCs w:val="0"/>
          <w:color w:val="000000"/>
          <w:kern w:val="0"/>
          <w:sz w:val="32"/>
          <w:szCs w:val="32"/>
          <w:lang w:val="en-US" w:eastAsia="zh-CN"/>
        </w:rPr>
        <w:t>5名，实有人员4人，</w:t>
      </w:r>
      <w:r>
        <w:rPr>
          <w:rFonts w:hint="eastAsia" w:ascii="仿宋_GB2312" w:hAnsi="宋体" w:eastAsia="仿宋_GB2312" w:cs="宋体"/>
          <w:b w:val="0"/>
          <w:bCs w:val="0"/>
          <w:color w:val="000000"/>
          <w:kern w:val="0"/>
          <w:sz w:val="32"/>
          <w:szCs w:val="32"/>
        </w:rPr>
        <w:t>但不是独立核算单位，因此其所有开支列入机关</w:t>
      </w:r>
      <w:r>
        <w:rPr>
          <w:rFonts w:hint="eastAsia" w:ascii="仿宋_GB2312" w:eastAsia="仿宋_GB2312" w:cs="ArialUnicodeMS" w:hAnsiTheme="minorHAnsi"/>
          <w:kern w:val="0"/>
          <w:sz w:val="32"/>
          <w:szCs w:val="32"/>
        </w:rPr>
        <w:t>。</w:t>
      </w:r>
    </w:p>
    <w:tbl>
      <w:tblPr>
        <w:tblStyle w:val="11"/>
        <w:tblW w:w="977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07"/>
        <w:gridCol w:w="1644"/>
        <w:gridCol w:w="1633"/>
        <w:gridCol w:w="385"/>
        <w:gridCol w:w="2990"/>
        <w:gridCol w:w="8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817" w:type="dxa"/>
          <w:trHeight w:val="227" w:hRule="atLeast"/>
          <w:tblHeader/>
          <w:jc w:val="center"/>
        </w:trPr>
        <w:tc>
          <w:tcPr>
            <w:tcW w:w="5969" w:type="dxa"/>
            <w:gridSpan w:val="4"/>
            <w:tcBorders>
              <w:top w:val="single" w:color="FFFFFF" w:sz="6" w:space="0"/>
              <w:left w:val="single" w:color="FFFFFF" w:sz="6" w:space="0"/>
              <w:right w:val="single" w:color="FFFFFF" w:sz="6" w:space="0"/>
            </w:tcBorders>
            <w:vAlign w:val="center"/>
          </w:tcPr>
          <w:p>
            <w:pPr>
              <w:spacing w:line="300" w:lineRule="exact"/>
              <w:jc w:val="left"/>
              <w:rPr>
                <w:rFonts w:hint="eastAsia" w:ascii="仿宋_GB2312" w:hAnsi="仿宋_GB2312" w:eastAsia="仿宋_GB2312" w:cs="仿宋_GB2312"/>
                <w:b w:val="0"/>
                <w:color w:val="000000"/>
                <w:sz w:val="32"/>
                <w:szCs w:val="32"/>
              </w:rPr>
            </w:pPr>
          </w:p>
        </w:tc>
        <w:tc>
          <w:tcPr>
            <w:tcW w:w="2990" w:type="dxa"/>
            <w:tcBorders>
              <w:top w:val="single" w:color="FFFFFF" w:sz="6" w:space="0"/>
              <w:left w:val="single" w:color="FFFFFF" w:sz="6" w:space="0"/>
              <w:right w:val="single" w:color="FFFFFF" w:sz="6" w:space="0"/>
            </w:tcBorders>
            <w:vAlign w:val="center"/>
          </w:tcPr>
          <w:p>
            <w:pPr>
              <w:spacing w:line="300" w:lineRule="exact"/>
              <w:jc w:val="right"/>
              <w:rPr>
                <w:rFonts w:hint="eastAsia" w:ascii="仿宋_GB2312" w:hAnsi="仿宋_GB2312" w:eastAsia="仿宋_GB2312" w:cs="仿宋_GB2312"/>
                <w:b w:val="0"/>
                <w:color w:val="000000"/>
                <w:sz w:val="32"/>
                <w:szCs w:val="32"/>
              </w:rPr>
            </w:pPr>
            <w:r>
              <w:rPr>
                <w:rFonts w:hint="eastAsia" w:ascii="仿宋_GB2312" w:hAnsi="仿宋_GB2312" w:eastAsia="仿宋_GB2312" w:cs="仿宋_GB2312"/>
                <w:b w:val="0"/>
                <w:color w:val="000000"/>
                <w:sz w:val="32"/>
                <w:szCs w:val="32"/>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blHeader/>
          <w:jc w:val="center"/>
        </w:trPr>
        <w:tc>
          <w:tcPr>
            <w:tcW w:w="2307" w:type="dxa"/>
            <w:vMerge w:val="restart"/>
            <w:vAlign w:val="center"/>
          </w:tcPr>
          <w:p>
            <w:pPr>
              <w:spacing w:line="300" w:lineRule="exact"/>
              <w:jc w:val="center"/>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单位名称</w:t>
            </w:r>
          </w:p>
        </w:tc>
        <w:tc>
          <w:tcPr>
            <w:tcW w:w="1644" w:type="dxa"/>
            <w:vMerge w:val="restart"/>
            <w:vAlign w:val="center"/>
          </w:tcPr>
          <w:p>
            <w:pPr>
              <w:spacing w:line="300" w:lineRule="exact"/>
              <w:jc w:val="center"/>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单位性质</w:t>
            </w:r>
          </w:p>
        </w:tc>
        <w:tc>
          <w:tcPr>
            <w:tcW w:w="1633" w:type="dxa"/>
            <w:vMerge w:val="restart"/>
            <w:vAlign w:val="center"/>
          </w:tcPr>
          <w:p>
            <w:pPr>
              <w:spacing w:line="300" w:lineRule="exact"/>
              <w:jc w:val="center"/>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单位规格</w:t>
            </w:r>
          </w:p>
        </w:tc>
        <w:tc>
          <w:tcPr>
            <w:tcW w:w="4192" w:type="dxa"/>
            <w:gridSpan w:val="3"/>
            <w:vMerge w:val="restart"/>
            <w:vAlign w:val="center"/>
          </w:tcPr>
          <w:p>
            <w:pPr>
              <w:spacing w:line="300" w:lineRule="exact"/>
              <w:jc w:val="center"/>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blHeader/>
          <w:jc w:val="center"/>
        </w:trPr>
        <w:tc>
          <w:tcPr>
            <w:tcW w:w="2307" w:type="dxa"/>
            <w:vMerge w:val="continue"/>
            <w:vAlign w:val="center"/>
          </w:tcPr>
          <w:p>
            <w:pPr>
              <w:spacing w:line="300" w:lineRule="exact"/>
              <w:jc w:val="left"/>
              <w:outlineLvl w:val="0"/>
              <w:rPr>
                <w:rFonts w:hint="eastAsia" w:ascii="仿宋_GB2312" w:hAnsi="仿宋_GB2312" w:eastAsia="仿宋_GB2312" w:cs="仿宋_GB2312"/>
                <w:b w:val="0"/>
                <w:color w:val="000000"/>
                <w:sz w:val="32"/>
                <w:szCs w:val="32"/>
              </w:rPr>
            </w:pPr>
          </w:p>
        </w:tc>
        <w:tc>
          <w:tcPr>
            <w:tcW w:w="1644" w:type="dxa"/>
            <w:vMerge w:val="continue"/>
            <w:vAlign w:val="center"/>
          </w:tcPr>
          <w:p>
            <w:pPr>
              <w:spacing w:line="300" w:lineRule="exact"/>
              <w:jc w:val="left"/>
              <w:outlineLvl w:val="0"/>
              <w:rPr>
                <w:rFonts w:hint="eastAsia" w:ascii="仿宋_GB2312" w:hAnsi="仿宋_GB2312" w:eastAsia="仿宋_GB2312" w:cs="仿宋_GB2312"/>
                <w:b w:val="0"/>
                <w:color w:val="000000"/>
                <w:sz w:val="32"/>
                <w:szCs w:val="32"/>
              </w:rPr>
            </w:pPr>
          </w:p>
        </w:tc>
        <w:tc>
          <w:tcPr>
            <w:tcW w:w="1633" w:type="dxa"/>
            <w:vMerge w:val="continue"/>
            <w:vAlign w:val="center"/>
          </w:tcPr>
          <w:p>
            <w:pPr>
              <w:spacing w:line="300" w:lineRule="exact"/>
              <w:jc w:val="left"/>
              <w:outlineLvl w:val="0"/>
              <w:rPr>
                <w:rFonts w:hint="eastAsia" w:ascii="仿宋_GB2312" w:hAnsi="仿宋_GB2312" w:eastAsia="仿宋_GB2312" w:cs="仿宋_GB2312"/>
                <w:b w:val="0"/>
                <w:color w:val="000000"/>
                <w:sz w:val="32"/>
                <w:szCs w:val="32"/>
              </w:rPr>
            </w:pPr>
          </w:p>
        </w:tc>
        <w:tc>
          <w:tcPr>
            <w:tcW w:w="4192" w:type="dxa"/>
            <w:gridSpan w:val="3"/>
            <w:vMerge w:val="continue"/>
            <w:vAlign w:val="center"/>
          </w:tcPr>
          <w:p>
            <w:pPr>
              <w:spacing w:line="300" w:lineRule="exact"/>
              <w:jc w:val="left"/>
              <w:outlineLvl w:val="0"/>
              <w:rPr>
                <w:rFonts w:hint="eastAsia" w:ascii="仿宋_GB2312" w:hAnsi="仿宋_GB2312" w:eastAsia="仿宋_GB2312" w:cs="仿宋_GB2312"/>
                <w:b w:val="0"/>
                <w:color w:val="000000"/>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07" w:type="dxa"/>
            <w:vAlign w:val="center"/>
          </w:tcPr>
          <w:p>
            <w:pPr>
              <w:spacing w:line="300" w:lineRule="exact"/>
              <w:rPr>
                <w:rFonts w:hint="eastAsia" w:ascii="仿宋_GB2312" w:hAnsi="仿宋_GB2312" w:eastAsia="仿宋_GB2312" w:cs="仿宋_GB2312"/>
                <w:b w:val="0"/>
                <w:color w:val="000000"/>
                <w:sz w:val="32"/>
                <w:szCs w:val="32"/>
              </w:rPr>
            </w:pPr>
            <w:r>
              <w:rPr>
                <w:rFonts w:hint="eastAsia" w:ascii="仿宋_GB2312" w:hAnsi="仿宋_GB2312" w:eastAsia="仿宋_GB2312" w:cs="仿宋_GB2312"/>
                <w:b w:val="0"/>
                <w:color w:val="000000"/>
                <w:sz w:val="32"/>
                <w:szCs w:val="32"/>
              </w:rPr>
              <w:t>高邑县机构编制委员会办公室</w:t>
            </w:r>
          </w:p>
        </w:tc>
        <w:tc>
          <w:tcPr>
            <w:tcW w:w="1644" w:type="dxa"/>
            <w:vAlign w:val="center"/>
          </w:tcPr>
          <w:p>
            <w:pPr>
              <w:spacing w:line="300" w:lineRule="exact"/>
              <w:jc w:val="center"/>
              <w:rPr>
                <w:rFonts w:hint="eastAsia" w:ascii="仿宋_GB2312" w:hAnsi="仿宋_GB2312" w:eastAsia="仿宋_GB2312" w:cs="仿宋_GB2312"/>
                <w:b w:val="0"/>
                <w:color w:val="000000"/>
                <w:sz w:val="32"/>
                <w:szCs w:val="32"/>
              </w:rPr>
            </w:pPr>
            <w:r>
              <w:rPr>
                <w:rFonts w:hint="eastAsia" w:ascii="仿宋_GB2312" w:hAnsi="仿宋_GB2312" w:eastAsia="仿宋_GB2312" w:cs="仿宋_GB2312"/>
                <w:b w:val="0"/>
                <w:color w:val="000000"/>
                <w:sz w:val="32"/>
                <w:szCs w:val="32"/>
              </w:rPr>
              <w:t>行政</w:t>
            </w:r>
          </w:p>
        </w:tc>
        <w:tc>
          <w:tcPr>
            <w:tcW w:w="1633" w:type="dxa"/>
            <w:vAlign w:val="center"/>
          </w:tcPr>
          <w:p>
            <w:pPr>
              <w:spacing w:line="300" w:lineRule="exact"/>
              <w:jc w:val="center"/>
              <w:rPr>
                <w:rFonts w:hint="eastAsia" w:ascii="仿宋_GB2312" w:hAnsi="仿宋_GB2312" w:eastAsia="仿宋_GB2312" w:cs="仿宋_GB2312"/>
                <w:b w:val="0"/>
                <w:color w:val="000000"/>
                <w:sz w:val="32"/>
                <w:szCs w:val="32"/>
              </w:rPr>
            </w:pPr>
            <w:r>
              <w:rPr>
                <w:rFonts w:hint="eastAsia" w:ascii="仿宋_GB2312" w:hAnsi="仿宋_GB2312" w:eastAsia="仿宋_GB2312" w:cs="仿宋_GB2312"/>
                <w:b w:val="0"/>
                <w:color w:val="000000"/>
                <w:sz w:val="32"/>
                <w:szCs w:val="32"/>
              </w:rPr>
              <w:t>正科级</w:t>
            </w:r>
          </w:p>
        </w:tc>
        <w:tc>
          <w:tcPr>
            <w:tcW w:w="4192" w:type="dxa"/>
            <w:gridSpan w:val="3"/>
            <w:vAlign w:val="center"/>
          </w:tcPr>
          <w:p>
            <w:pPr>
              <w:spacing w:line="300" w:lineRule="exact"/>
              <w:jc w:val="center"/>
              <w:rPr>
                <w:rFonts w:hint="eastAsia" w:ascii="仿宋_GB2312" w:hAnsi="仿宋_GB2312" w:eastAsia="仿宋_GB2312" w:cs="仿宋_GB2312"/>
                <w:b w:val="0"/>
                <w:color w:val="000000"/>
                <w:sz w:val="32"/>
                <w:szCs w:val="32"/>
              </w:rPr>
            </w:pPr>
            <w:r>
              <w:rPr>
                <w:rFonts w:hint="eastAsia" w:ascii="仿宋_GB2312" w:hAnsi="仿宋_GB2312" w:eastAsia="仿宋_GB2312" w:cs="仿宋_GB2312"/>
                <w:b w:val="0"/>
                <w:color w:val="000000"/>
                <w:sz w:val="32"/>
                <w:szCs w:val="32"/>
              </w:rPr>
              <w:t>财政拨款</w:t>
            </w:r>
          </w:p>
        </w:tc>
      </w:tr>
    </w:tbl>
    <w:p>
      <w:pPr>
        <w:autoSpaceDE w:val="0"/>
        <w:autoSpaceDN w:val="0"/>
        <w:adjustRightInd w:val="0"/>
        <w:spacing w:after="0" w:line="560" w:lineRule="exact"/>
        <w:jc w:val="left"/>
        <w:rPr>
          <w:rFonts w:hint="eastAsia" w:ascii="仿宋_GB2312" w:eastAsia="仿宋_GB2312" w:cs="ArialUnicodeMS" w:hAnsiTheme="minorHAnsi"/>
          <w:kern w:val="0"/>
          <w:sz w:val="32"/>
          <w:szCs w:val="32"/>
        </w:rPr>
      </w:pPr>
    </w:p>
    <w:p>
      <w:pPr>
        <w:autoSpaceDE w:val="0"/>
        <w:autoSpaceDN w:val="0"/>
        <w:adjustRightInd w:val="0"/>
        <w:spacing w:after="0" w:line="560" w:lineRule="exact"/>
        <w:jc w:val="left"/>
        <w:rPr>
          <w:rFonts w:hint="eastAsia" w:ascii="仿宋_GB2312" w:eastAsia="仿宋_GB2312" w:cs="ArialUnicodeMS" w:hAnsiTheme="minorHAnsi"/>
          <w:kern w:val="0"/>
          <w:sz w:val="32"/>
          <w:szCs w:val="32"/>
          <w:lang w:val="en-US" w:eastAsia="zh-CN"/>
        </w:rPr>
      </w:pPr>
      <w:r>
        <w:rPr>
          <w:rFonts w:hint="eastAsia" w:ascii="仿宋_GB2312" w:eastAsia="仿宋_GB2312" w:cs="ArialUnicodeMS" w:hAnsiTheme="minorHAnsi"/>
          <w:kern w:val="0"/>
          <w:sz w:val="32"/>
          <w:szCs w:val="32"/>
          <w:lang w:val="en-US" w:eastAsia="zh-CN"/>
        </w:rPr>
        <w:t xml:space="preserve">    </w:t>
      </w:r>
    </w:p>
    <w:p>
      <w:pPr>
        <w:autoSpaceDE w:val="0"/>
        <w:autoSpaceDN w:val="0"/>
        <w:adjustRightInd w:val="0"/>
        <w:spacing w:after="0" w:line="560" w:lineRule="exact"/>
        <w:jc w:val="left"/>
        <w:rPr>
          <w:rFonts w:hint="eastAsia" w:ascii="仿宋_GB2312" w:eastAsia="仿宋_GB2312" w:cs="ArialUnicodeMS" w:hAnsiTheme="minorHAnsi"/>
          <w:kern w:val="0"/>
          <w:sz w:val="32"/>
          <w:szCs w:val="32"/>
          <w:lang w:val="en-US" w:eastAsia="zh-CN"/>
        </w:rPr>
        <w:sectPr>
          <w:footerReference r:id="rId4" w:type="first"/>
          <w:footerReference r:id="rId3" w:type="default"/>
          <w:pgSz w:w="11906" w:h="16838"/>
          <w:pgMar w:top="2098" w:right="1474" w:bottom="1985" w:left="1588" w:header="851" w:footer="992" w:gutter="0"/>
          <w:pgNumType w:fmt="decimal" w:start="0"/>
          <w:cols w:space="425" w:num="1"/>
          <w:titlePg/>
          <w:docGrid w:type="lines" w:linePitch="312" w:charSpace="0"/>
        </w:sectPr>
      </w:pPr>
    </w:p>
    <w:p>
      <w:pPr>
        <w:widowControl/>
        <w:tabs>
          <w:tab w:val="left" w:pos="3044"/>
        </w:tabs>
        <w:spacing w:line="560" w:lineRule="exact"/>
        <w:jc w:val="both"/>
        <w:rPr>
          <w:rFonts w:hint="eastAsia" w:ascii="黑体" w:eastAsia="黑体" w:cs="MS-UIGothic,Bold" w:hAnsiTheme="minorHAnsi"/>
          <w:bCs/>
          <w:kern w:val="0"/>
          <w:sz w:val="52"/>
          <w:szCs w:val="52"/>
          <w:lang w:eastAsia="zh-CN"/>
        </w:rPr>
      </w:pPr>
    </w:p>
    <w:p>
      <w:pPr>
        <w:pStyle w:val="2"/>
        <w:spacing w:line="560" w:lineRule="exact"/>
        <w:jc w:val="center"/>
        <w:rPr>
          <w:rFonts w:ascii="宋体" w:hAnsi="宋体" w:cs="ArialUnicodeMS"/>
          <w:color w:val="000000"/>
          <w:kern w:val="0"/>
        </w:rPr>
      </w:pPr>
      <w:r>
        <w:rPr>
          <w:rFonts w:hint="eastAsia" w:ascii="宋体" w:hAnsi="宋体" w:cs="ArialUnicodeMS"/>
          <w:color w:val="000000"/>
          <w:kern w:val="0"/>
        </w:rPr>
        <w:t>第二部分 2017年度部门决算报表</w:t>
      </w:r>
    </w:p>
    <w:p>
      <w:pPr>
        <w:widowControl/>
        <w:spacing w:after="0" w:line="560" w:lineRule="exact"/>
        <w:ind w:firstLine="562" w:firstLineChars="200"/>
        <w:jc w:val="left"/>
        <w:rPr>
          <w:rFonts w:hint="eastAsia" w:cs="MS-UIGothic,Bold" w:asciiTheme="majorEastAsia" w:hAnsiTheme="majorEastAsia" w:eastAsiaTheme="majorEastAsia"/>
          <w:b/>
          <w:bCs/>
          <w:color w:val="auto"/>
          <w:kern w:val="0"/>
          <w:sz w:val="44"/>
          <w:szCs w:val="44"/>
          <w:highlight w:val="none"/>
          <w:lang w:eastAsia="zh-CN"/>
        </w:rPr>
      </w:pPr>
      <w:r>
        <w:rPr>
          <w:rFonts w:hint="eastAsia" w:ascii="仿宋_GB2312" w:hAnsi="宋体" w:eastAsia="仿宋_GB2312"/>
          <w:b/>
          <w:color w:val="auto"/>
          <w:sz w:val="28"/>
          <w:szCs w:val="28"/>
          <w:highlight w:val="none"/>
          <w:lang w:eastAsia="zh-CN"/>
        </w:rPr>
        <w:t>详见附表。</w:t>
      </w:r>
    </w:p>
    <w:p>
      <w:pPr>
        <w:widowControl/>
        <w:spacing w:after="0" w:line="560" w:lineRule="exact"/>
        <w:ind w:firstLine="883" w:firstLineChars="200"/>
        <w:jc w:val="left"/>
        <w:rPr>
          <w:rFonts w:hint="eastAsia" w:cs="MS-UIGothic,Bold" w:asciiTheme="majorEastAsia" w:hAnsiTheme="majorEastAsia" w:eastAsiaTheme="majorEastAsia"/>
          <w:b/>
          <w:bCs/>
          <w:kern w:val="0"/>
          <w:sz w:val="44"/>
          <w:szCs w:val="44"/>
        </w:rPr>
      </w:pPr>
    </w:p>
    <w:p>
      <w:pPr>
        <w:widowControl/>
        <w:spacing w:after="0" w:line="560" w:lineRule="exact"/>
        <w:ind w:firstLine="883" w:firstLineChars="200"/>
        <w:jc w:val="left"/>
        <w:rPr>
          <w:rFonts w:hint="eastAsia" w:cs="MS-UIGothic,Bold" w:asciiTheme="majorEastAsia" w:hAnsiTheme="majorEastAsia" w:eastAsiaTheme="majorEastAsia"/>
          <w:b/>
          <w:bCs/>
          <w:kern w:val="0"/>
          <w:sz w:val="44"/>
          <w:szCs w:val="44"/>
        </w:rPr>
        <w:sectPr>
          <w:pgSz w:w="16838" w:h="11906" w:orient="landscape"/>
          <w:pgMar w:top="1588" w:right="2098" w:bottom="1474" w:left="1985" w:header="851" w:footer="992" w:gutter="0"/>
          <w:pgNumType w:fmt="decimal"/>
          <w:cols w:space="425" w:num="1"/>
          <w:docGrid w:type="lines" w:linePitch="312" w:charSpace="0"/>
        </w:sectPr>
      </w:pPr>
    </w:p>
    <w:p>
      <w:pPr>
        <w:pStyle w:val="2"/>
        <w:spacing w:line="560" w:lineRule="exact"/>
        <w:jc w:val="center"/>
        <w:rPr>
          <w:rFonts w:cs="ArialUnicodeMS" w:asciiTheme="majorEastAsia" w:hAnsiTheme="majorEastAsia" w:eastAsiaTheme="majorEastAsia"/>
          <w:color w:val="000000"/>
          <w:kern w:val="0"/>
        </w:rPr>
      </w:pPr>
      <w:r>
        <w:rPr>
          <w:rFonts w:hint="eastAsia" w:cs="ArialUnicodeMS" w:asciiTheme="majorEastAsia" w:hAnsiTheme="majorEastAsia" w:eastAsiaTheme="majorEastAsia"/>
          <w:color w:val="000000"/>
          <w:kern w:val="0"/>
        </w:rPr>
        <w:t>第三部分</w:t>
      </w:r>
      <w:r>
        <w:rPr>
          <w:rFonts w:cs="ArialUnicodeMS" w:asciiTheme="majorEastAsia" w:hAnsiTheme="majorEastAsia" w:eastAsiaTheme="majorEastAsia"/>
          <w:color w:val="000000"/>
          <w:kern w:val="0"/>
        </w:rPr>
        <w:t xml:space="preserve"> </w:t>
      </w:r>
      <w:r>
        <w:rPr>
          <w:rFonts w:hint="eastAsia" w:cs="ArialUnicodeMS" w:asciiTheme="majorEastAsia" w:hAnsiTheme="majorEastAsia" w:eastAsiaTheme="majorEastAsia"/>
          <w:color w:val="000000"/>
          <w:kern w:val="0"/>
        </w:rPr>
        <w:t>部门决算情况说明</w:t>
      </w:r>
    </w:p>
    <w:p>
      <w:pPr>
        <w:pStyle w:val="3"/>
        <w:spacing w:before="0" w:after="0" w:line="560" w:lineRule="exact"/>
        <w:ind w:firstLine="643" w:firstLineChars="200"/>
        <w:rPr>
          <w:rFonts w:ascii="黑体" w:eastAsia="黑体"/>
        </w:rPr>
      </w:pPr>
      <w:r>
        <w:rPr>
          <w:rFonts w:hint="eastAsia" w:ascii="黑体" w:eastAsia="黑体"/>
        </w:rPr>
        <w:t>一、收入</w:t>
      </w:r>
      <w:r>
        <w:rPr>
          <w:rFonts w:hint="eastAsia" w:ascii="黑体" w:eastAsia="黑体" w:cs="黑体" w:hAnsiTheme="minorHAnsi"/>
          <w:kern w:val="0"/>
        </w:rPr>
        <w:t>支出</w:t>
      </w:r>
      <w:r>
        <w:rPr>
          <w:rFonts w:hint="eastAsia" w:ascii="黑体" w:eastAsia="黑体"/>
        </w:rPr>
        <w:t>决算总体情况说明</w:t>
      </w:r>
    </w:p>
    <w:p>
      <w:pPr>
        <w:adjustRightInd w:val="0"/>
        <w:snapToGrid w:val="0"/>
        <w:spacing w:after="0" w:line="56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本部门2017年度年初结转和结余</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万元，本年收入</w:t>
      </w:r>
      <w:r>
        <w:rPr>
          <w:rFonts w:hint="eastAsia" w:ascii="仿宋_GB2312" w:eastAsia="仿宋_GB2312" w:cs="DengXian-Regular"/>
          <w:sz w:val="32"/>
          <w:szCs w:val="32"/>
          <w:lang w:val="en-US" w:eastAsia="zh-CN"/>
        </w:rPr>
        <w:t>66.81</w:t>
      </w:r>
      <w:r>
        <w:rPr>
          <w:rFonts w:hint="eastAsia" w:ascii="仿宋_GB2312" w:eastAsia="仿宋_GB2312" w:cs="DengXian-Regular"/>
          <w:sz w:val="32"/>
          <w:szCs w:val="32"/>
        </w:rPr>
        <w:t>万元；本年支出</w:t>
      </w:r>
      <w:r>
        <w:rPr>
          <w:rFonts w:hint="eastAsia" w:ascii="仿宋_GB2312" w:eastAsia="仿宋_GB2312" w:cs="DengXian-Regular"/>
          <w:sz w:val="32"/>
          <w:szCs w:val="32"/>
          <w:lang w:val="en-US" w:eastAsia="zh-CN"/>
        </w:rPr>
        <w:t>66.35</w:t>
      </w:r>
      <w:r>
        <w:rPr>
          <w:rFonts w:hint="eastAsia" w:ascii="仿宋_GB2312" w:eastAsia="仿宋_GB2312" w:cs="DengXian-Regular"/>
          <w:sz w:val="32"/>
          <w:szCs w:val="32"/>
        </w:rPr>
        <w:t>万元、年末结转和结余</w:t>
      </w:r>
      <w:r>
        <w:rPr>
          <w:rFonts w:hint="eastAsia" w:ascii="仿宋_GB2312" w:eastAsia="仿宋_GB2312" w:cs="DengXian-Regular"/>
          <w:sz w:val="32"/>
          <w:szCs w:val="32"/>
          <w:lang w:val="en-US" w:eastAsia="zh-CN"/>
        </w:rPr>
        <w:t>0.46</w:t>
      </w:r>
      <w:r>
        <w:rPr>
          <w:rFonts w:hint="eastAsia" w:ascii="仿宋_GB2312" w:eastAsia="仿宋_GB2312" w:cs="DengXian-Regular"/>
          <w:sz w:val="32"/>
          <w:szCs w:val="32"/>
        </w:rPr>
        <w:t>万元。与2016年度决算相比，本年收入增加</w:t>
      </w:r>
      <w:r>
        <w:rPr>
          <w:rFonts w:hint="eastAsia" w:ascii="仿宋_GB2312" w:eastAsia="仿宋_GB2312" w:cs="DengXian-Regular"/>
          <w:sz w:val="32"/>
          <w:szCs w:val="32"/>
          <w:lang w:val="en-US" w:eastAsia="zh-CN"/>
        </w:rPr>
        <w:t>30.52</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84.1</w:t>
      </w:r>
      <w:r>
        <w:rPr>
          <w:rFonts w:hint="eastAsia" w:ascii="仿宋_GB2312" w:eastAsia="仿宋_GB2312" w:cs="DengXian-Regular"/>
          <w:sz w:val="32"/>
          <w:szCs w:val="32"/>
        </w:rPr>
        <w:t>%，主要是</w:t>
      </w:r>
      <w:r>
        <w:rPr>
          <w:rFonts w:hint="eastAsia" w:ascii="仿宋_GB2312" w:hAnsi="仿宋_GB2312" w:eastAsia="仿宋_GB2312" w:cs="仿宋_GB2312"/>
          <w:sz w:val="32"/>
          <w:szCs w:val="32"/>
        </w:rPr>
        <w:t>机构人员情况有所变化，</w:t>
      </w:r>
      <w:r>
        <w:rPr>
          <w:rFonts w:hint="eastAsia" w:ascii="仿宋_GB2312" w:hAnsi="仿宋_GB2312" w:eastAsia="仿宋_GB2312" w:cs="仿宋_GB2312"/>
          <w:sz w:val="32"/>
          <w:szCs w:val="32"/>
          <w:lang w:eastAsia="zh-CN"/>
        </w:rPr>
        <w:t>增加了人员经费，以及将中文域名注册费纳入财政支付</w:t>
      </w:r>
      <w:r>
        <w:rPr>
          <w:rFonts w:hint="eastAsia" w:ascii="仿宋_GB2312" w:eastAsia="仿宋_GB2312" w:cs="DengXian-Regular"/>
          <w:sz w:val="32"/>
          <w:szCs w:val="32"/>
        </w:rPr>
        <w:t>；本年支出增加</w:t>
      </w:r>
      <w:r>
        <w:rPr>
          <w:rFonts w:hint="eastAsia" w:ascii="仿宋_GB2312" w:eastAsia="仿宋_GB2312" w:cs="DengXian-Regular"/>
          <w:sz w:val="32"/>
          <w:szCs w:val="32"/>
          <w:lang w:val="en-US" w:eastAsia="zh-CN"/>
        </w:rPr>
        <w:t>30.06</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82.83</w:t>
      </w:r>
      <w:r>
        <w:rPr>
          <w:rFonts w:hint="eastAsia" w:ascii="仿宋_GB2312" w:eastAsia="仿宋_GB2312" w:cs="DengXian-Regular"/>
          <w:sz w:val="32"/>
          <w:szCs w:val="32"/>
        </w:rPr>
        <w:t>%，主要是</w:t>
      </w:r>
      <w:r>
        <w:rPr>
          <w:rFonts w:hint="eastAsia" w:ascii="仿宋_GB2312" w:hAnsi="仿宋_GB2312" w:eastAsia="仿宋_GB2312" w:cs="仿宋_GB2312"/>
          <w:sz w:val="32"/>
          <w:szCs w:val="32"/>
        </w:rPr>
        <w:t>机构人员情况有所变化，</w:t>
      </w:r>
      <w:r>
        <w:rPr>
          <w:rFonts w:hint="eastAsia" w:ascii="仿宋_GB2312" w:hAnsi="仿宋_GB2312" w:eastAsia="仿宋_GB2312" w:cs="仿宋_GB2312"/>
          <w:sz w:val="32"/>
          <w:szCs w:val="32"/>
          <w:lang w:eastAsia="zh-CN"/>
        </w:rPr>
        <w:t>增加了人员经费，以及将中文域名注册费纳入财政支付。</w:t>
      </w:r>
    </w:p>
    <w:p>
      <w:pPr>
        <w:pStyle w:val="3"/>
        <w:spacing w:before="0" w:after="0" w:line="560" w:lineRule="exact"/>
        <w:ind w:firstLine="643" w:firstLineChars="200"/>
        <w:rPr>
          <w:rFonts w:ascii="黑体" w:eastAsia="黑体"/>
        </w:rPr>
      </w:pPr>
      <w:r>
        <w:rPr>
          <w:rFonts w:hint="eastAsia" w:ascii="黑体" w:eastAsia="黑体"/>
        </w:rPr>
        <w:t>二、收入决算情况说明</w:t>
      </w:r>
    </w:p>
    <w:p>
      <w:pPr>
        <w:adjustRightInd w:val="0"/>
        <w:snapToGrid w:val="0"/>
        <w:spacing w:line="560" w:lineRule="exact"/>
        <w:rPr>
          <w:rFonts w:hint="eastAsia" w:ascii="仿宋_GB2312" w:eastAsia="仿宋_GB2312" w:cs="DengXian-Regular"/>
          <w:sz w:val="32"/>
          <w:szCs w:val="32"/>
        </w:rPr>
      </w:pPr>
      <w:r>
        <w:rPr>
          <w:rFonts w:hint="eastAsia" w:ascii="仿宋_GB2312" w:eastAsia="仿宋_GB2312" w:cs="DengXian-Regular"/>
          <w:sz w:val="32"/>
          <w:szCs w:val="32"/>
          <w:lang w:val="en-US" w:eastAsia="zh-CN"/>
        </w:rPr>
        <w:t xml:space="preserve">   </w:t>
      </w:r>
      <w:r>
        <w:rPr>
          <w:rFonts w:hint="eastAsia" w:ascii="仿宋_GB2312" w:eastAsia="仿宋_GB2312" w:cs="DengXian-Regular"/>
          <w:sz w:val="32"/>
          <w:szCs w:val="32"/>
        </w:rPr>
        <w:t>本部门2017年度本年收入合计</w:t>
      </w:r>
      <w:r>
        <w:rPr>
          <w:rFonts w:hint="eastAsia" w:ascii="仿宋_GB2312" w:eastAsia="仿宋_GB2312" w:cs="DengXian-Regular"/>
          <w:sz w:val="32"/>
          <w:szCs w:val="32"/>
          <w:lang w:val="en-US" w:eastAsia="zh-CN"/>
        </w:rPr>
        <w:t>66.81</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66.81</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%；事业收入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%；经营收入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p>
    <w:p>
      <w:pPr>
        <w:adjustRightInd w:val="0"/>
        <w:snapToGrid w:val="0"/>
        <w:spacing w:line="560" w:lineRule="exact"/>
        <w:rPr>
          <w:rFonts w:hint="eastAsia" w:ascii="黑体" w:eastAsia="仿宋_GB2312"/>
          <w:lang w:val="en-US" w:eastAsia="zh-CN"/>
        </w:rPr>
      </w:pPr>
      <w:r>
        <w:rPr>
          <w:rFonts w:hint="eastAsia" w:ascii="仿宋_GB2312" w:eastAsia="仿宋_GB2312" w:cs="DengXian-Regular"/>
          <w:sz w:val="32"/>
          <w:szCs w:val="32"/>
          <w:lang w:eastAsia="zh-CN"/>
        </w:rPr>
        <w:drawing>
          <wp:anchor distT="0" distB="0" distL="114300" distR="114300" simplePos="0" relativeHeight="251658240" behindDoc="0" locked="0" layoutInCell="1" allowOverlap="1">
            <wp:simplePos x="0" y="0"/>
            <wp:positionH relativeFrom="column">
              <wp:posOffset>873125</wp:posOffset>
            </wp:positionH>
            <wp:positionV relativeFrom="paragraph">
              <wp:posOffset>610235</wp:posOffset>
            </wp:positionV>
            <wp:extent cx="2804160" cy="1925320"/>
            <wp:effectExtent l="5080" t="4445" r="10160" b="1333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_GB2312" w:eastAsia="仿宋_GB2312" w:cs="DengXian-Regular"/>
          <w:sz w:val="32"/>
          <w:szCs w:val="32"/>
          <w:lang w:eastAsia="zh-CN"/>
        </w:rPr>
        <w:t>图一：收入决算结构饼状图</w:t>
      </w:r>
    </w:p>
    <w:p>
      <w:pPr>
        <w:pStyle w:val="3"/>
        <w:spacing w:before="0" w:after="0" w:line="560" w:lineRule="exact"/>
        <w:ind w:firstLine="643" w:firstLineChars="200"/>
        <w:rPr>
          <w:rFonts w:ascii="黑体" w:eastAsia="黑体"/>
        </w:rPr>
      </w:pPr>
      <w:r>
        <w:rPr>
          <w:rFonts w:hint="eastAsia" w:ascii="黑体" w:eastAsia="黑体"/>
        </w:rPr>
        <w:t>三、支出决算情况说明</w:t>
      </w:r>
    </w:p>
    <w:p>
      <w:pPr>
        <w:adjustRightInd w:val="0"/>
        <w:snapToGrid w:val="0"/>
        <w:spacing w:line="560" w:lineRule="exact"/>
        <w:ind w:firstLine="640"/>
        <w:rPr>
          <w:rFonts w:hint="eastAsia" w:ascii="仿宋_GB2312" w:eastAsia="仿宋_GB2312" w:cs="DengXian-Regular"/>
          <w:sz w:val="32"/>
          <w:szCs w:val="32"/>
        </w:rPr>
      </w:pPr>
      <w:r>
        <w:rPr>
          <w:rFonts w:hint="eastAsia" w:ascii="仿宋_GB2312" w:eastAsia="仿宋_GB2312" w:cs="DengXian-Regular"/>
          <w:sz w:val="32"/>
          <w:szCs w:val="32"/>
          <w:lang w:eastAsia="zh-CN"/>
        </w:rPr>
        <w:drawing>
          <wp:anchor distT="0" distB="0" distL="114300" distR="114300" simplePos="0" relativeHeight="251659264" behindDoc="0" locked="0" layoutInCell="1" allowOverlap="1">
            <wp:simplePos x="0" y="0"/>
            <wp:positionH relativeFrom="column">
              <wp:posOffset>496570</wp:posOffset>
            </wp:positionH>
            <wp:positionV relativeFrom="paragraph">
              <wp:posOffset>1821815</wp:posOffset>
            </wp:positionV>
            <wp:extent cx="2879725" cy="2181860"/>
            <wp:effectExtent l="4445" t="4445" r="11430" b="2349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_GB2312" w:eastAsia="仿宋_GB2312" w:cs="DengXian-Regular"/>
          <w:sz w:val="32"/>
          <w:szCs w:val="32"/>
        </w:rPr>
        <w:t>本部门2017年度本年支出合计</w:t>
      </w:r>
      <w:r>
        <w:rPr>
          <w:rFonts w:hint="eastAsia" w:ascii="仿宋_GB2312" w:eastAsia="仿宋_GB2312" w:cs="DengXian-Regular"/>
          <w:sz w:val="32"/>
          <w:szCs w:val="32"/>
          <w:lang w:val="en-US" w:eastAsia="zh-CN"/>
        </w:rPr>
        <w:t>66.35</w:t>
      </w:r>
      <w:r>
        <w:rPr>
          <w:rFonts w:hint="eastAsia" w:ascii="仿宋_GB2312" w:eastAsia="仿宋_GB2312" w:cs="DengXian-Regular"/>
          <w:sz w:val="32"/>
          <w:szCs w:val="32"/>
        </w:rPr>
        <w:t>万元，其中：基本支出</w:t>
      </w:r>
      <w:r>
        <w:rPr>
          <w:rFonts w:hint="eastAsia" w:ascii="仿宋_GB2312" w:eastAsia="仿宋_GB2312" w:cs="DengXian-Regular"/>
          <w:sz w:val="32"/>
          <w:szCs w:val="32"/>
          <w:lang w:val="en-US" w:eastAsia="zh-CN"/>
        </w:rPr>
        <w:t>60.45</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91.11</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5.9</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8.89</w:t>
      </w:r>
      <w:r>
        <w:rPr>
          <w:rFonts w:hint="eastAsia" w:ascii="仿宋_GB2312" w:eastAsia="仿宋_GB2312" w:cs="DengXian-Regular"/>
          <w:sz w:val="32"/>
          <w:szCs w:val="32"/>
        </w:rPr>
        <w:t>%；经营支出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p>
    <w:p>
      <w:pPr>
        <w:adjustRightInd w:val="0"/>
        <w:snapToGrid w:val="0"/>
        <w:spacing w:line="560" w:lineRule="exact"/>
        <w:ind w:firstLine="640"/>
        <w:rPr>
          <w:rFonts w:ascii="仿宋_GB2312" w:eastAsia="仿宋_GB2312" w:cs="DengXian-Regular"/>
          <w:sz w:val="32"/>
          <w:szCs w:val="32"/>
        </w:rPr>
      </w:pPr>
      <w:r>
        <w:rPr>
          <w:rFonts w:hint="eastAsia" w:ascii="仿宋_GB2312" w:eastAsia="仿宋_GB2312" w:cs="DengXian-Regular"/>
          <w:sz w:val="32"/>
          <w:szCs w:val="32"/>
          <w:lang w:eastAsia="zh-CN"/>
        </w:rPr>
        <w:t>图二：支出决算结构饼状图</w:t>
      </w:r>
    </w:p>
    <w:p>
      <w:pPr>
        <w:pStyle w:val="3"/>
        <w:spacing w:before="0" w:after="0" w:line="560" w:lineRule="exact"/>
        <w:ind w:firstLine="643" w:firstLineChars="200"/>
        <w:rPr>
          <w:rFonts w:hint="eastAsia" w:ascii="黑体" w:eastAsia="黑体"/>
        </w:rPr>
      </w:pPr>
    </w:p>
    <w:p>
      <w:pPr>
        <w:pStyle w:val="3"/>
        <w:spacing w:before="0" w:after="0" w:line="560" w:lineRule="exact"/>
        <w:ind w:firstLine="643" w:firstLineChars="200"/>
        <w:rPr>
          <w:rFonts w:ascii="黑体" w:eastAsia="黑体"/>
        </w:rPr>
      </w:pPr>
      <w:r>
        <w:rPr>
          <w:rFonts w:hint="eastAsia" w:ascii="黑体" w:eastAsia="黑体"/>
        </w:rPr>
        <w:t>四、</w:t>
      </w:r>
      <w:r>
        <w:rPr>
          <w:rFonts w:hint="eastAsia" w:ascii="黑体" w:eastAsia="黑体" w:cs="黑体" w:hAnsiTheme="minorHAnsi"/>
          <w:kern w:val="0"/>
        </w:rPr>
        <w:t>财政</w:t>
      </w:r>
      <w:r>
        <w:rPr>
          <w:rFonts w:hint="eastAsia" w:ascii="黑体" w:eastAsia="黑体"/>
        </w:rPr>
        <w:t>拨款收入支出决算总体情况说明</w:t>
      </w:r>
    </w:p>
    <w:p>
      <w:pPr>
        <w:spacing w:after="0" w:line="56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（一）财政拨款收支与2016 年度决算对比情况</w:t>
      </w:r>
    </w:p>
    <w:p>
      <w:pPr>
        <w:adjustRightInd w:val="0"/>
        <w:snapToGrid w:val="0"/>
        <w:spacing w:after="0" w:line="56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本部门2017年度财政拨款收支全部为一般公共预算财政拨款收支。一般公共预算财政拨款年初结转和结余</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万元、本年收入</w:t>
      </w:r>
      <w:r>
        <w:rPr>
          <w:rFonts w:hint="eastAsia" w:ascii="仿宋_GB2312" w:eastAsia="仿宋_GB2312" w:cs="DengXian-Regular"/>
          <w:sz w:val="32"/>
          <w:szCs w:val="32"/>
          <w:lang w:val="en-US" w:eastAsia="zh-CN"/>
        </w:rPr>
        <w:t>66.81</w:t>
      </w:r>
      <w:r>
        <w:rPr>
          <w:rFonts w:hint="eastAsia" w:ascii="仿宋_GB2312" w:eastAsia="仿宋_GB2312" w:cs="DengXian-Regular"/>
          <w:sz w:val="32"/>
          <w:szCs w:val="32"/>
        </w:rPr>
        <w:t>万元；本年支出</w:t>
      </w:r>
      <w:r>
        <w:rPr>
          <w:rFonts w:hint="eastAsia" w:ascii="仿宋_GB2312" w:eastAsia="仿宋_GB2312" w:cs="DengXian-Regular"/>
          <w:sz w:val="32"/>
          <w:szCs w:val="32"/>
          <w:lang w:val="en-US" w:eastAsia="zh-CN"/>
        </w:rPr>
        <w:t>66.35</w:t>
      </w:r>
      <w:r>
        <w:rPr>
          <w:rFonts w:hint="eastAsia" w:ascii="仿宋_GB2312" w:eastAsia="仿宋_GB2312" w:cs="DengXian-Regular"/>
          <w:sz w:val="32"/>
          <w:szCs w:val="32"/>
        </w:rPr>
        <w:t>万元、年末结转和结余</w:t>
      </w:r>
      <w:r>
        <w:rPr>
          <w:rFonts w:hint="eastAsia" w:ascii="仿宋_GB2312" w:eastAsia="仿宋_GB2312" w:cs="DengXian-Regular"/>
          <w:sz w:val="32"/>
          <w:szCs w:val="32"/>
          <w:lang w:val="en-US" w:eastAsia="zh-CN"/>
        </w:rPr>
        <w:t>0.46</w:t>
      </w:r>
      <w:r>
        <w:rPr>
          <w:rFonts w:hint="eastAsia" w:ascii="仿宋_GB2312" w:eastAsia="仿宋_GB2312" w:cs="DengXian-Regular"/>
          <w:sz w:val="32"/>
          <w:szCs w:val="32"/>
        </w:rPr>
        <w:t>万元。与2016年度决算相比，一般公共预算财政拨款本年收入增加</w:t>
      </w:r>
      <w:r>
        <w:rPr>
          <w:rFonts w:hint="eastAsia" w:ascii="仿宋_GB2312" w:eastAsia="仿宋_GB2312" w:cs="DengXian-Regular"/>
          <w:sz w:val="32"/>
          <w:szCs w:val="32"/>
          <w:lang w:val="en-US" w:eastAsia="zh-CN"/>
        </w:rPr>
        <w:t>30.52</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84.1</w:t>
      </w:r>
      <w:r>
        <w:rPr>
          <w:rFonts w:hint="eastAsia" w:ascii="仿宋_GB2312" w:eastAsia="仿宋_GB2312" w:cs="DengXian-Regular"/>
          <w:sz w:val="32"/>
          <w:szCs w:val="32"/>
        </w:rPr>
        <w:t>%，主要是</w:t>
      </w:r>
      <w:r>
        <w:rPr>
          <w:rFonts w:hint="eastAsia" w:ascii="仿宋_GB2312" w:hAnsi="仿宋_GB2312" w:eastAsia="仿宋_GB2312" w:cs="仿宋_GB2312"/>
          <w:sz w:val="32"/>
          <w:szCs w:val="32"/>
        </w:rPr>
        <w:t>机构人员情况有所变化，</w:t>
      </w:r>
      <w:r>
        <w:rPr>
          <w:rFonts w:hint="eastAsia" w:ascii="仿宋_GB2312" w:hAnsi="仿宋_GB2312" w:eastAsia="仿宋_GB2312" w:cs="仿宋_GB2312"/>
          <w:sz w:val="32"/>
          <w:szCs w:val="32"/>
          <w:lang w:eastAsia="zh-CN"/>
        </w:rPr>
        <w:t>增加了人员经费，以及将中文域名注册费纳入财政支付</w:t>
      </w:r>
      <w:r>
        <w:rPr>
          <w:rFonts w:hint="eastAsia" w:ascii="仿宋_GB2312" w:eastAsia="仿宋_GB2312" w:cs="DengXian-Regular"/>
          <w:sz w:val="32"/>
          <w:szCs w:val="32"/>
        </w:rPr>
        <w:t>；本年支出增加</w:t>
      </w:r>
      <w:r>
        <w:rPr>
          <w:rFonts w:hint="eastAsia" w:ascii="仿宋_GB2312" w:eastAsia="仿宋_GB2312" w:cs="DengXian-Regular"/>
          <w:sz w:val="32"/>
          <w:szCs w:val="32"/>
          <w:lang w:val="en-US" w:eastAsia="zh-CN"/>
        </w:rPr>
        <w:t>30.06</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82.83</w:t>
      </w:r>
      <w:r>
        <w:rPr>
          <w:rFonts w:hint="eastAsia" w:ascii="仿宋_GB2312" w:eastAsia="仿宋_GB2312" w:cs="DengXian-Regular"/>
          <w:sz w:val="32"/>
          <w:szCs w:val="32"/>
        </w:rPr>
        <w:t>x%，主要是</w:t>
      </w:r>
      <w:r>
        <w:rPr>
          <w:rFonts w:hint="eastAsia" w:ascii="仿宋_GB2312" w:hAnsi="仿宋_GB2312" w:eastAsia="仿宋_GB2312" w:cs="仿宋_GB2312"/>
          <w:sz w:val="32"/>
          <w:szCs w:val="32"/>
        </w:rPr>
        <w:t>机构人员情况有所变化，</w:t>
      </w:r>
      <w:r>
        <w:rPr>
          <w:rFonts w:hint="eastAsia" w:ascii="仿宋_GB2312" w:hAnsi="仿宋_GB2312" w:eastAsia="仿宋_GB2312" w:cs="仿宋_GB2312"/>
          <w:sz w:val="32"/>
          <w:szCs w:val="32"/>
          <w:lang w:eastAsia="zh-CN"/>
        </w:rPr>
        <w:t>增加了人员经费，以及将中文域名注册费纳入财政支付</w:t>
      </w:r>
      <w:r>
        <w:rPr>
          <w:rFonts w:hint="eastAsia" w:ascii="仿宋_GB2312" w:eastAsia="仿宋_GB2312" w:cs="DengXian-Regular"/>
          <w:sz w:val="32"/>
          <w:szCs w:val="32"/>
        </w:rPr>
        <w:t>。</w:t>
      </w:r>
    </w:p>
    <w:p>
      <w:pPr>
        <w:spacing w:after="0" w:line="56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6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本部门2017年度一般公共预算财政拨款本年收入较2017年初预算增加</w:t>
      </w:r>
      <w:r>
        <w:rPr>
          <w:rFonts w:hint="eastAsia" w:ascii="仿宋_GB2312" w:eastAsia="仿宋_GB2312" w:cs="DengXian-Regular"/>
          <w:sz w:val="32"/>
          <w:szCs w:val="32"/>
          <w:lang w:val="en-US" w:eastAsia="zh-CN"/>
        </w:rPr>
        <w:t>5.94</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9.76</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增加“放管服”及“三不分”专项行动经费</w:t>
      </w:r>
      <w:r>
        <w:rPr>
          <w:rFonts w:hint="eastAsia" w:ascii="仿宋_GB2312" w:eastAsia="仿宋_GB2312" w:cs="DengXian-Regular"/>
          <w:sz w:val="32"/>
          <w:szCs w:val="32"/>
        </w:rPr>
        <w:t>；本年支出增加</w:t>
      </w:r>
      <w:r>
        <w:rPr>
          <w:rFonts w:hint="eastAsia" w:ascii="仿宋_GB2312" w:eastAsia="仿宋_GB2312" w:cs="DengXian-Regular"/>
          <w:sz w:val="32"/>
          <w:szCs w:val="32"/>
          <w:lang w:val="en-US" w:eastAsia="zh-CN"/>
        </w:rPr>
        <w:t>5.48</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增加“放管服”及“三不分”专项行动经费</w:t>
      </w:r>
      <w:r>
        <w:rPr>
          <w:rFonts w:hint="eastAsia" w:ascii="仿宋_GB2312" w:eastAsia="仿宋_GB2312" w:cs="DengXian-Regular"/>
          <w:sz w:val="32"/>
          <w:szCs w:val="32"/>
        </w:rPr>
        <w:t>。</w:t>
      </w:r>
    </w:p>
    <w:p>
      <w:pPr>
        <w:pStyle w:val="3"/>
        <w:spacing w:before="0" w:after="0" w:line="560" w:lineRule="exact"/>
        <w:ind w:firstLine="643" w:firstLineChars="200"/>
        <w:rPr>
          <w:rFonts w:ascii="黑体" w:eastAsia="黑体"/>
        </w:rPr>
      </w:pPr>
      <w:r>
        <w:rPr>
          <w:rFonts w:hint="eastAsia" w:ascii="黑体" w:eastAsia="黑体"/>
        </w:rPr>
        <w:t>五、“三公” 经费支出决算情况说明</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600" w:lineRule="exact"/>
        <w:ind w:firstLine="640"/>
        <w:jc w:val="left"/>
        <w:rPr>
          <w:rFonts w:ascii="仿宋_GB2312" w:eastAsia="仿宋_GB2312" w:cs="DengXian-Regular"/>
          <w:sz w:val="32"/>
          <w:szCs w:val="32"/>
        </w:rPr>
      </w:pPr>
      <w:r>
        <w:rPr>
          <w:rFonts w:hint="eastAsia" w:ascii="仿宋_GB2312" w:eastAsia="仿宋_GB2312" w:cs="DengXian-Regular"/>
          <w:sz w:val="32"/>
          <w:szCs w:val="32"/>
        </w:rPr>
        <w:t>本部门2017年度“三公”经费支出共计</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万元，较年初预算增加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%，主要是</w:t>
      </w:r>
      <w:r>
        <w:rPr>
          <w:rFonts w:hint="eastAsia" w:ascii="仿宋_GB2312" w:hAnsi="仿宋" w:eastAsia="仿宋_GB2312" w:cs="仿宋_GB2312"/>
          <w:color w:val="000000"/>
          <w:sz w:val="32"/>
          <w:szCs w:val="32"/>
        </w:rPr>
        <w:t>严格执行中央、省、市、县压缩三公经费相关文件规定，</w:t>
      </w:r>
      <w:r>
        <w:rPr>
          <w:rFonts w:hint="eastAsia" w:ascii="仿宋_GB2312" w:eastAsia="仿宋_GB2312"/>
          <w:color w:val="000000"/>
          <w:sz w:val="32"/>
          <w:szCs w:val="32"/>
        </w:rPr>
        <w:t>厉行节俭、严格控制支出。</w:t>
      </w:r>
      <w:r>
        <w:rPr>
          <w:rFonts w:hint="eastAsia" w:ascii="仿宋_GB2312" w:eastAsia="仿宋_GB2312" w:cs="DengXian-Regular"/>
          <w:sz w:val="32"/>
          <w:szCs w:val="32"/>
        </w:rPr>
        <w:t>较2016年度决算增加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%，主要是</w:t>
      </w:r>
      <w:r>
        <w:rPr>
          <w:rFonts w:hint="eastAsia" w:ascii="仿宋_GB2312" w:hAnsi="仿宋" w:eastAsia="仿宋_GB2312" w:cs="仿宋_GB2312"/>
          <w:color w:val="000000"/>
          <w:sz w:val="32"/>
          <w:szCs w:val="32"/>
        </w:rPr>
        <w:t>严格执行中央、省、市、县压缩三公经费相关文件规定，</w:t>
      </w:r>
      <w:r>
        <w:rPr>
          <w:rFonts w:hint="eastAsia" w:ascii="仿宋_GB2312" w:eastAsia="仿宋_GB2312"/>
          <w:color w:val="000000"/>
          <w:sz w:val="32"/>
          <w:szCs w:val="32"/>
        </w:rPr>
        <w:t>厉行节俭、严格控制支出</w:t>
      </w:r>
      <w:r>
        <w:rPr>
          <w:rFonts w:hint="eastAsia" w:ascii="仿宋_GB2312" w:eastAsia="仿宋_GB2312" w:cs="DengXian-Regular"/>
          <w:sz w:val="32"/>
          <w:szCs w:val="32"/>
        </w:rPr>
        <w:t>。具体情况如下：</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600" w:lineRule="exact"/>
        <w:ind w:firstLine="640"/>
        <w:jc w:val="left"/>
        <w:rPr>
          <w:rFonts w:ascii="仿宋_GB2312" w:eastAsia="仿宋_GB2312" w:cs="DengXian-Regular"/>
          <w:sz w:val="32"/>
          <w:szCs w:val="32"/>
        </w:rPr>
      </w:pPr>
      <w:r>
        <w:rPr>
          <w:rFonts w:hint="eastAsia" w:ascii="楷体_GB2312" w:eastAsia="楷体_GB2312" w:cs="DengXian-Bold"/>
          <w:b/>
          <w:bCs/>
          <w:sz w:val="32"/>
          <w:szCs w:val="32"/>
        </w:rPr>
        <w:t>（一）因公出国（境）费支出</w:t>
      </w:r>
      <w:r>
        <w:rPr>
          <w:rFonts w:hint="eastAsia" w:ascii="楷体_GB2312" w:eastAsia="楷体_GB2312" w:cs="DengXian-Bold"/>
          <w:b/>
          <w:bCs/>
          <w:sz w:val="32"/>
          <w:szCs w:val="32"/>
          <w:lang w:val="en-US" w:eastAsia="zh-CN"/>
        </w:rPr>
        <w:t>0</w:t>
      </w:r>
      <w:r>
        <w:rPr>
          <w:rFonts w:hint="eastAsia" w:ascii="楷体_GB2312" w:eastAsia="楷体_GB2312" w:cs="DengXian-Bold"/>
          <w:b/>
          <w:bCs/>
          <w:sz w:val="32"/>
          <w:szCs w:val="32"/>
        </w:rPr>
        <w:t>万元。</w:t>
      </w:r>
      <w:r>
        <w:rPr>
          <w:rFonts w:hint="eastAsia" w:ascii="仿宋_GB2312" w:eastAsia="仿宋_GB2312" w:cs="DengXian-Regular"/>
          <w:sz w:val="32"/>
          <w:szCs w:val="32"/>
        </w:rPr>
        <w:t>本部门2017年度参加其他单位组织的因公出国（境）团组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人/无本单位组织的出国（境）团组。因公出国（境）费支出较年初预算增加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%,主要是</w:t>
      </w:r>
      <w:r>
        <w:rPr>
          <w:rFonts w:hint="eastAsia" w:ascii="仿宋_GB2312" w:hAnsi="仿宋" w:eastAsia="仿宋_GB2312" w:cs="仿宋_GB2312"/>
          <w:color w:val="000000"/>
          <w:sz w:val="32"/>
          <w:szCs w:val="32"/>
        </w:rPr>
        <w:t>严格执行中央、省、市、县压缩三公经费相关文件规定，</w:t>
      </w:r>
      <w:r>
        <w:rPr>
          <w:rFonts w:hint="eastAsia" w:ascii="仿宋_GB2312" w:eastAsia="仿宋_GB2312"/>
          <w:color w:val="000000"/>
          <w:sz w:val="32"/>
          <w:szCs w:val="32"/>
        </w:rPr>
        <w:t>厉行节俭、严格控制支出</w:t>
      </w:r>
      <w:r>
        <w:rPr>
          <w:rFonts w:hint="eastAsia" w:ascii="仿宋_GB2312" w:eastAsia="仿宋_GB2312" w:cs="DengXian-Regular"/>
          <w:sz w:val="32"/>
          <w:szCs w:val="32"/>
        </w:rPr>
        <w:t>；较2016年度决算增加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%,主要是</w:t>
      </w:r>
      <w:r>
        <w:rPr>
          <w:rFonts w:hint="eastAsia" w:ascii="仿宋_GB2312" w:hAnsi="仿宋" w:eastAsia="仿宋_GB2312" w:cs="仿宋_GB2312"/>
          <w:color w:val="000000"/>
          <w:sz w:val="32"/>
          <w:szCs w:val="32"/>
        </w:rPr>
        <w:t>严格执行中央、省、市、县压缩三公经费相关文件规定，</w:t>
      </w:r>
      <w:r>
        <w:rPr>
          <w:rFonts w:hint="eastAsia" w:ascii="仿宋_GB2312" w:eastAsia="仿宋_GB2312"/>
          <w:color w:val="000000"/>
          <w:sz w:val="32"/>
          <w:szCs w:val="32"/>
        </w:rPr>
        <w:t>厉行节俭、严格控制支出。</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600" w:lineRule="exact"/>
        <w:ind w:firstLine="640"/>
        <w:jc w:val="left"/>
        <w:rPr>
          <w:rFonts w:ascii="仿宋_GB2312" w:eastAsia="仿宋_GB2312" w:cs="DengXian-Bold"/>
          <w:b/>
          <w:bCs/>
          <w:sz w:val="32"/>
          <w:szCs w:val="32"/>
        </w:rPr>
      </w:pPr>
      <w:r>
        <w:rPr>
          <w:rFonts w:hint="eastAsia" w:ascii="楷体_GB2312" w:eastAsia="楷体_GB2312" w:cs="DengXian-Bold"/>
          <w:b/>
          <w:bCs/>
          <w:sz w:val="32"/>
          <w:szCs w:val="32"/>
        </w:rPr>
        <w:t>（二）公务用车购置及运行维护费支出</w:t>
      </w:r>
      <w:r>
        <w:rPr>
          <w:rFonts w:hint="eastAsia" w:ascii="楷体_GB2312" w:eastAsia="楷体_GB2312" w:cs="DengXian-Bold"/>
          <w:b/>
          <w:bCs/>
          <w:sz w:val="32"/>
          <w:szCs w:val="32"/>
          <w:lang w:val="en-US" w:eastAsia="zh-CN"/>
        </w:rPr>
        <w:t>0</w:t>
      </w:r>
      <w:r>
        <w:rPr>
          <w:rFonts w:hint="eastAsia" w:ascii="楷体_GB2312" w:eastAsia="楷体_GB2312" w:cs="DengXian-Bold"/>
          <w:b/>
          <w:bCs/>
          <w:sz w:val="32"/>
          <w:szCs w:val="32"/>
        </w:rPr>
        <w:t>万元。</w:t>
      </w:r>
      <w:r>
        <w:rPr>
          <w:rFonts w:hint="eastAsia" w:ascii="仿宋_GB2312" w:eastAsia="仿宋_GB2312" w:cs="DengXian-Regular"/>
          <w:sz w:val="32"/>
          <w:szCs w:val="32"/>
        </w:rPr>
        <w:t>本部门2017年度公务用车购置及运行维护费较年初预算减少</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%,主要是</w:t>
      </w:r>
      <w:r>
        <w:rPr>
          <w:rFonts w:hint="eastAsia" w:ascii="仿宋_GB2312" w:hAnsi="仿宋" w:eastAsia="仿宋_GB2312" w:cs="仿宋_GB2312"/>
          <w:color w:val="000000"/>
          <w:sz w:val="32"/>
          <w:szCs w:val="32"/>
        </w:rPr>
        <w:t>严格执行中央、省、市、县压缩三公经费相关文件规定，</w:t>
      </w:r>
      <w:r>
        <w:rPr>
          <w:rFonts w:hint="eastAsia" w:ascii="仿宋_GB2312" w:eastAsia="仿宋_GB2312"/>
          <w:color w:val="000000"/>
          <w:sz w:val="32"/>
          <w:szCs w:val="32"/>
        </w:rPr>
        <w:t>厉行节俭、严格控制支出</w:t>
      </w:r>
      <w:r>
        <w:rPr>
          <w:rFonts w:hint="eastAsia" w:ascii="仿宋_GB2312" w:eastAsia="仿宋_GB2312" w:cs="DengXian-Regular"/>
          <w:sz w:val="32"/>
          <w:szCs w:val="32"/>
        </w:rPr>
        <w:t>；较2016年度决算减少</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%,主要是</w:t>
      </w:r>
      <w:r>
        <w:rPr>
          <w:rFonts w:hint="eastAsia" w:ascii="仿宋_GB2312" w:hAnsi="仿宋" w:eastAsia="仿宋_GB2312" w:cs="仿宋_GB2312"/>
          <w:color w:val="000000"/>
          <w:sz w:val="32"/>
          <w:szCs w:val="32"/>
        </w:rPr>
        <w:t>严格执行中央、省、市、县压缩三公经费相关文件规定，</w:t>
      </w:r>
      <w:r>
        <w:rPr>
          <w:rFonts w:hint="eastAsia" w:ascii="仿宋_GB2312" w:eastAsia="仿宋_GB2312"/>
          <w:color w:val="000000"/>
          <w:sz w:val="32"/>
          <w:szCs w:val="32"/>
        </w:rPr>
        <w:t>厉行节俭、严格控制支出</w:t>
      </w:r>
      <w:r>
        <w:rPr>
          <w:rFonts w:hint="eastAsia" w:ascii="仿宋_GB2312" w:eastAsia="仿宋_GB2312" w:cs="DengXian-Regular"/>
          <w:sz w:val="32"/>
          <w:szCs w:val="32"/>
        </w:rPr>
        <w:t>。</w:t>
      </w:r>
      <w:r>
        <w:rPr>
          <w:rFonts w:hint="eastAsia" w:ascii="仿宋_GB2312" w:eastAsia="仿宋_GB2312" w:cs="DengXian-Bold"/>
          <w:b/>
          <w:bCs/>
          <w:sz w:val="32"/>
          <w:szCs w:val="32"/>
        </w:rPr>
        <w:t>其中：</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600" w:lineRule="exact"/>
        <w:ind w:firstLine="640"/>
        <w:jc w:val="left"/>
        <w:rPr>
          <w:rFonts w:ascii="仿宋_GB2312" w:eastAsia="仿宋_GB2312" w:cs="DengXian-Regular"/>
          <w:sz w:val="32"/>
          <w:szCs w:val="32"/>
        </w:rPr>
      </w:pPr>
      <w:r>
        <w:rPr>
          <w:rFonts w:hint="eastAsia" w:ascii="仿宋_GB2312" w:eastAsia="仿宋_GB2312" w:cs="DengXian-Regular"/>
          <w:b/>
          <w:sz w:val="32"/>
          <w:szCs w:val="32"/>
        </w:rPr>
        <w:t>公务用车购置费：</w:t>
      </w:r>
      <w:r>
        <w:rPr>
          <w:rFonts w:hint="eastAsia" w:ascii="仿宋_GB2312" w:eastAsia="仿宋_GB2312" w:cs="DengXian-Regular"/>
          <w:sz w:val="32"/>
          <w:szCs w:val="32"/>
        </w:rPr>
        <w:t>本部门2017年度公务用车购置量</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辆，发生“公务用车购置”经费支出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万元。公务用车购置费支出较年初预算增加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%,主要是</w:t>
      </w:r>
      <w:r>
        <w:rPr>
          <w:rFonts w:hint="eastAsia" w:ascii="仿宋_GB2312" w:hAnsi="仿宋" w:eastAsia="仿宋_GB2312" w:cs="仿宋_GB2312"/>
          <w:color w:val="000000"/>
          <w:sz w:val="32"/>
          <w:szCs w:val="32"/>
        </w:rPr>
        <w:t>严格执行中央、省、市、县压缩三公经费相关文件规定，</w:t>
      </w:r>
      <w:r>
        <w:rPr>
          <w:rFonts w:hint="eastAsia" w:ascii="仿宋_GB2312" w:eastAsia="仿宋_GB2312"/>
          <w:color w:val="000000"/>
          <w:sz w:val="32"/>
          <w:szCs w:val="32"/>
        </w:rPr>
        <w:t>厉行节俭、严格控制支出</w:t>
      </w:r>
      <w:r>
        <w:rPr>
          <w:rFonts w:hint="eastAsia" w:ascii="仿宋_GB2312" w:eastAsia="仿宋_GB2312" w:cs="DengXian-Regular"/>
          <w:sz w:val="32"/>
          <w:szCs w:val="32"/>
        </w:rPr>
        <w:t>；较2016年度决算增加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%,主要是</w:t>
      </w:r>
      <w:r>
        <w:rPr>
          <w:rFonts w:hint="eastAsia" w:ascii="仿宋_GB2312" w:hAnsi="仿宋" w:eastAsia="仿宋_GB2312" w:cs="仿宋_GB2312"/>
          <w:color w:val="000000"/>
          <w:sz w:val="32"/>
          <w:szCs w:val="32"/>
        </w:rPr>
        <w:t>严格执行中央、省、市、县压缩三公经费相关文件规定，</w:t>
      </w:r>
      <w:r>
        <w:rPr>
          <w:rFonts w:hint="eastAsia" w:ascii="仿宋_GB2312" w:eastAsia="仿宋_GB2312"/>
          <w:color w:val="000000"/>
          <w:sz w:val="32"/>
          <w:szCs w:val="32"/>
        </w:rPr>
        <w:t>厉行节俭、严格控制支出</w:t>
      </w:r>
      <w:r>
        <w:rPr>
          <w:rFonts w:hint="eastAsia" w:ascii="仿宋_GB2312" w:eastAsia="仿宋_GB2312" w:cs="DengXian-Regular"/>
          <w:sz w:val="32"/>
          <w:szCs w:val="32"/>
        </w:rPr>
        <w:t>。</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600" w:lineRule="exact"/>
        <w:ind w:firstLine="640"/>
        <w:jc w:val="left"/>
        <w:rPr>
          <w:rFonts w:ascii="仿宋_GB2312" w:eastAsia="仿宋_GB2312" w:cs="DengXian-Regular"/>
          <w:sz w:val="32"/>
          <w:szCs w:val="32"/>
        </w:rPr>
      </w:pPr>
      <w:r>
        <w:rPr>
          <w:rFonts w:hint="eastAsia" w:ascii="仿宋_GB2312" w:eastAsia="仿宋_GB2312" w:cs="DengXian-Regular"/>
          <w:b/>
          <w:sz w:val="32"/>
          <w:szCs w:val="32"/>
        </w:rPr>
        <w:t>公务用车运行维护费：</w:t>
      </w:r>
      <w:r>
        <w:rPr>
          <w:rFonts w:hint="eastAsia" w:ascii="仿宋_GB2312" w:eastAsia="仿宋_GB2312" w:cs="DengXian-Regular"/>
          <w:sz w:val="32"/>
          <w:szCs w:val="32"/>
        </w:rPr>
        <w:t>本部门2017年度单位公务用车保有量</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辆。公车运行维护费支出较年初预算增加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%,主要是</w:t>
      </w:r>
      <w:r>
        <w:rPr>
          <w:rFonts w:hint="eastAsia" w:ascii="仿宋_GB2312" w:hAnsi="仿宋" w:eastAsia="仿宋_GB2312" w:cs="仿宋_GB2312"/>
          <w:color w:val="000000"/>
          <w:sz w:val="32"/>
          <w:szCs w:val="32"/>
        </w:rPr>
        <w:t>严格执行中央、省、市、县压缩三公经费相关文件规定，</w:t>
      </w:r>
      <w:r>
        <w:rPr>
          <w:rFonts w:hint="eastAsia" w:ascii="仿宋_GB2312" w:eastAsia="仿宋_GB2312"/>
          <w:color w:val="000000"/>
          <w:sz w:val="32"/>
          <w:szCs w:val="32"/>
        </w:rPr>
        <w:t>厉行节俭、严格控制支出</w:t>
      </w:r>
      <w:r>
        <w:rPr>
          <w:rFonts w:hint="eastAsia" w:ascii="仿宋_GB2312" w:eastAsia="仿宋_GB2312" w:cs="DengXian-Regular"/>
          <w:sz w:val="32"/>
          <w:szCs w:val="32"/>
        </w:rPr>
        <w:t>；较2016年度决算增加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%，主要是</w:t>
      </w:r>
      <w:r>
        <w:rPr>
          <w:rFonts w:hint="eastAsia" w:ascii="仿宋_GB2312" w:hAnsi="仿宋" w:eastAsia="仿宋_GB2312" w:cs="仿宋_GB2312"/>
          <w:color w:val="000000"/>
          <w:sz w:val="32"/>
          <w:szCs w:val="32"/>
        </w:rPr>
        <w:t>严格执行中央、省、市、县压缩三公经费相关文件规定，</w:t>
      </w:r>
      <w:r>
        <w:rPr>
          <w:rFonts w:hint="eastAsia" w:ascii="仿宋_GB2312" w:eastAsia="仿宋_GB2312"/>
          <w:color w:val="000000"/>
          <w:sz w:val="32"/>
          <w:szCs w:val="32"/>
        </w:rPr>
        <w:t>厉行节俭、严格控制支出</w:t>
      </w:r>
      <w:r>
        <w:rPr>
          <w:rFonts w:hint="eastAsia" w:ascii="仿宋_GB2312" w:eastAsia="仿宋_GB2312" w:cs="DengXian-Regular"/>
          <w:sz w:val="32"/>
          <w:szCs w:val="32"/>
        </w:rPr>
        <w:t>。</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600" w:lineRule="exact"/>
        <w:ind w:firstLine="640"/>
        <w:jc w:val="left"/>
        <w:rPr>
          <w:rFonts w:ascii="仿宋_GB2312" w:eastAsia="仿宋_GB2312" w:cs="DengXian-Regular"/>
          <w:sz w:val="32"/>
          <w:szCs w:val="32"/>
        </w:rPr>
      </w:pPr>
      <w:r>
        <w:rPr>
          <w:rFonts w:hint="eastAsia" w:ascii="楷体_GB2312" w:eastAsia="楷体_GB2312" w:cs="DengXian-Bold"/>
          <w:b/>
          <w:bCs/>
          <w:sz w:val="32"/>
          <w:szCs w:val="32"/>
        </w:rPr>
        <w:t>（三）公务接待费支出</w:t>
      </w:r>
      <w:r>
        <w:rPr>
          <w:rFonts w:hint="eastAsia" w:ascii="楷体_GB2312" w:eastAsia="楷体_GB2312" w:cs="DengXian-Bold"/>
          <w:b/>
          <w:bCs/>
          <w:sz w:val="32"/>
          <w:szCs w:val="32"/>
          <w:lang w:val="en-US" w:eastAsia="zh-CN"/>
        </w:rPr>
        <w:t>0</w:t>
      </w:r>
      <w:r>
        <w:rPr>
          <w:rFonts w:hint="eastAsia" w:ascii="楷体_GB2312" w:eastAsia="楷体_GB2312" w:cs="DengXian-Bold"/>
          <w:b/>
          <w:bCs/>
          <w:sz w:val="32"/>
          <w:szCs w:val="32"/>
        </w:rPr>
        <w:t>万元。</w:t>
      </w:r>
      <w:r>
        <w:rPr>
          <w:rFonts w:hint="eastAsia" w:ascii="仿宋_GB2312" w:eastAsia="仿宋_GB2312" w:cs="DengXian-Regular"/>
          <w:sz w:val="32"/>
          <w:szCs w:val="32"/>
        </w:rPr>
        <w:t>本部门2017年度公务接待共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批次、</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人次。公务接待费支出较年初预算减少</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%,主要是</w:t>
      </w:r>
      <w:r>
        <w:rPr>
          <w:rFonts w:hint="eastAsia" w:ascii="仿宋_GB2312" w:hAnsi="仿宋" w:eastAsia="仿宋_GB2312" w:cs="仿宋_GB2312"/>
          <w:color w:val="000000"/>
          <w:sz w:val="32"/>
          <w:szCs w:val="32"/>
        </w:rPr>
        <w:t>严格执行中央、省、市、县压缩三公经费相关文件规定，</w:t>
      </w:r>
      <w:r>
        <w:rPr>
          <w:rFonts w:hint="eastAsia" w:ascii="仿宋_GB2312" w:eastAsia="仿宋_GB2312"/>
          <w:color w:val="000000"/>
          <w:sz w:val="32"/>
          <w:szCs w:val="32"/>
        </w:rPr>
        <w:t>厉行节俭、严格控制支出</w:t>
      </w:r>
      <w:r>
        <w:rPr>
          <w:rFonts w:hint="eastAsia" w:ascii="仿宋_GB2312" w:eastAsia="仿宋_GB2312" w:cs="DengXian-Regular"/>
          <w:sz w:val="32"/>
          <w:szCs w:val="32"/>
        </w:rPr>
        <w:t>；较2016年度决算减少</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%,主要是</w:t>
      </w:r>
      <w:r>
        <w:rPr>
          <w:rFonts w:hint="eastAsia" w:ascii="仿宋_GB2312" w:hAnsi="仿宋" w:eastAsia="仿宋_GB2312" w:cs="仿宋_GB2312"/>
          <w:color w:val="000000"/>
          <w:sz w:val="32"/>
          <w:szCs w:val="32"/>
        </w:rPr>
        <w:t>严格执行中央、省、市、县压缩三公经费相关文件规定，</w:t>
      </w:r>
      <w:r>
        <w:rPr>
          <w:rFonts w:hint="eastAsia" w:ascii="仿宋_GB2312" w:eastAsia="仿宋_GB2312"/>
          <w:color w:val="000000"/>
          <w:sz w:val="32"/>
          <w:szCs w:val="32"/>
        </w:rPr>
        <w:t>厉行节俭、严格控制支出</w:t>
      </w:r>
      <w:r>
        <w:rPr>
          <w:rFonts w:hint="eastAsia" w:ascii="仿宋_GB2312" w:eastAsia="仿宋_GB2312" w:cs="DengXian-Regular"/>
          <w:sz w:val="32"/>
          <w:szCs w:val="32"/>
        </w:rPr>
        <w:t>。</w:t>
      </w:r>
    </w:p>
    <w:p>
      <w:pPr>
        <w:pStyle w:val="3"/>
        <w:pageBreakBefore w:val="0"/>
        <w:widowControl w:val="0"/>
        <w:kinsoku/>
        <w:wordWrap/>
        <w:overflowPunct/>
        <w:topLinePunct w:val="0"/>
        <w:autoSpaceDE/>
        <w:autoSpaceDN/>
        <w:bidi w:val="0"/>
        <w:spacing w:before="0" w:after="0" w:line="600" w:lineRule="exact"/>
        <w:ind w:firstLine="643" w:firstLineChars="200"/>
        <w:textAlignment w:val="auto"/>
        <w:rPr>
          <w:rFonts w:ascii="黑体" w:eastAsia="黑体" w:cs="Times New Roman"/>
        </w:rPr>
      </w:pPr>
      <w:r>
        <w:rPr>
          <w:rFonts w:hint="eastAsia" w:ascii="黑体" w:eastAsia="黑体" w:cs="Times New Roman"/>
        </w:rPr>
        <w:t>六、绩效预算</w:t>
      </w:r>
      <w:r>
        <w:rPr>
          <w:rFonts w:hint="eastAsia" w:ascii="黑体" w:eastAsia="黑体" w:cs="黑体" w:hAnsiTheme="minorHAnsi"/>
          <w:kern w:val="0"/>
        </w:rPr>
        <w:t>管理</w:t>
      </w:r>
      <w:r>
        <w:rPr>
          <w:rFonts w:hint="eastAsia" w:ascii="黑体" w:eastAsia="黑体" w:cs="Times New Roman"/>
        </w:rPr>
        <w:t>工作开展情况说明</w:t>
      </w:r>
    </w:p>
    <w:p>
      <w:pPr>
        <w:keepNext w:val="0"/>
        <w:keepLines w:val="0"/>
        <w:pageBreakBefore w:val="0"/>
        <w:widowControl w:val="0"/>
        <w:kinsoku/>
        <w:wordWrap/>
        <w:overflowPunct/>
        <w:topLinePunct w:val="0"/>
        <w:autoSpaceDE/>
        <w:autoSpaceDN/>
        <w:bidi w:val="0"/>
        <w:adjustRightInd w:val="0"/>
        <w:snapToGrid w:val="0"/>
        <w:spacing w:after="0" w:line="600" w:lineRule="exact"/>
        <w:ind w:right="0" w:firstLine="640" w:firstLineChars="200"/>
        <w:textAlignment w:val="auto"/>
        <w:rPr>
          <w:rFonts w:hint="eastAsia" w:ascii="仿宋_GB2312" w:eastAsia="仿宋_GB2312" w:cs="DengXian-Regular"/>
          <w:sz w:val="32"/>
          <w:szCs w:val="32"/>
        </w:rPr>
      </w:pPr>
      <w:r>
        <w:rPr>
          <w:rFonts w:hint="eastAsia" w:ascii="仿宋_GB2312" w:eastAsia="仿宋_GB2312" w:cs="DengXian-Regular"/>
          <w:sz w:val="32"/>
          <w:szCs w:val="32"/>
        </w:rPr>
        <w:t>（一）绩效管理工作开展情况</w:t>
      </w:r>
    </w:p>
    <w:p>
      <w:pPr>
        <w:keepNext w:val="0"/>
        <w:keepLines w:val="0"/>
        <w:pageBreakBefore w:val="0"/>
        <w:widowControl w:val="0"/>
        <w:kinsoku/>
        <w:wordWrap/>
        <w:overflowPunct/>
        <w:topLinePunct w:val="0"/>
        <w:autoSpaceDE/>
        <w:autoSpaceDN/>
        <w:bidi w:val="0"/>
        <w:spacing w:line="600" w:lineRule="exact"/>
        <w:ind w:right="0" w:firstLine="640" w:firstLineChars="200"/>
        <w:jc w:val="both"/>
        <w:textAlignment w:val="auto"/>
        <w:rPr>
          <w:rFonts w:hint="eastAsia" w:ascii="仿宋_GB2312" w:hAnsi="仿宋_GB2312" w:eastAsia="仿宋_GB2312"/>
          <w:sz w:val="32"/>
        </w:rPr>
      </w:pPr>
      <w:r>
        <w:rPr>
          <w:rFonts w:hint="eastAsia" w:ascii="仿宋_GB2312" w:hAnsi="仿宋" w:eastAsia="仿宋_GB2312"/>
          <w:color w:val="000000"/>
          <w:sz w:val="32"/>
          <w:szCs w:val="32"/>
          <w:lang w:eastAsia="zh-CN"/>
        </w:rPr>
        <w:t>1、</w:t>
      </w:r>
      <w:r>
        <w:rPr>
          <w:rFonts w:hint="eastAsia" w:ascii="仿宋_GB2312" w:hAnsi="仿宋_GB2312" w:eastAsia="仿宋_GB2312"/>
          <w:sz w:val="32"/>
        </w:rPr>
        <w:t>按照深化绩效预算管理的要求，201</w:t>
      </w:r>
      <w:r>
        <w:rPr>
          <w:rFonts w:hint="eastAsia" w:ascii="仿宋_GB2312" w:hAnsi="仿宋_GB2312" w:eastAsia="仿宋_GB2312"/>
          <w:sz w:val="32"/>
          <w:lang w:val="en-US" w:eastAsia="zh-CN"/>
        </w:rPr>
        <w:t>7</w:t>
      </w:r>
      <w:r>
        <w:rPr>
          <w:rFonts w:hint="eastAsia" w:ascii="仿宋_GB2312" w:hAnsi="仿宋_GB2312" w:eastAsia="仿宋_GB2312"/>
          <w:sz w:val="32"/>
        </w:rPr>
        <w:t xml:space="preserve"> 年继续优化了“部门职责-工作活动-预算项目”的绩效预算管理结构，分三个层次分别制定了绩效目标和指标，力争可审核、可监控、可评价，将绩效管理融入项目管理全过程，为提高资金使用效果、规范预算管理打下了良好基础。</w:t>
      </w:r>
    </w:p>
    <w:p>
      <w:pPr>
        <w:keepNext w:val="0"/>
        <w:keepLines w:val="0"/>
        <w:pageBreakBefore w:val="0"/>
        <w:widowControl w:val="0"/>
        <w:kinsoku/>
        <w:wordWrap/>
        <w:overflowPunct/>
        <w:topLinePunct w:val="0"/>
        <w:autoSpaceDE/>
        <w:autoSpaceDN/>
        <w:bidi w:val="0"/>
        <w:spacing w:line="600" w:lineRule="exact"/>
        <w:ind w:right="0" w:firstLine="640" w:firstLineChars="200"/>
        <w:jc w:val="both"/>
        <w:textAlignment w:val="auto"/>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val="en-US" w:eastAsia="zh-CN"/>
        </w:rPr>
        <w:t>2</w:t>
      </w:r>
      <w:r>
        <w:rPr>
          <w:rFonts w:hint="eastAsia" w:ascii="仿宋_GB2312" w:hAnsi="仿宋" w:eastAsia="仿宋_GB2312"/>
          <w:color w:val="000000"/>
          <w:sz w:val="32"/>
          <w:szCs w:val="32"/>
          <w:lang w:eastAsia="zh-CN"/>
        </w:rPr>
        <w:t>、推进绩效评价工作。强化预算项目重点绩效评价问题整改及结果应用，强化了预算支出责任和效率，确保财政资金用到实处，发挥最大效益。加强绩效自评价工作实施。按照工作程序和时间安排组织成立了绩效评价工作组，制定了绩效评价工作方案，明确了绩效评价指标体系、评价方法及步骤时限等，逐步开展绩效自评价工作。</w:t>
      </w:r>
    </w:p>
    <w:p>
      <w:pPr>
        <w:keepNext w:val="0"/>
        <w:keepLines w:val="0"/>
        <w:pageBreakBefore w:val="0"/>
        <w:widowControl w:val="0"/>
        <w:kinsoku/>
        <w:wordWrap/>
        <w:overflowPunct/>
        <w:topLinePunct w:val="0"/>
        <w:bidi w:val="0"/>
        <w:adjustRightInd w:val="0"/>
        <w:snapToGrid w:val="0"/>
        <w:spacing w:after="0" w:line="600" w:lineRule="exact"/>
        <w:ind w:right="0"/>
        <w:textAlignment w:val="auto"/>
        <w:rPr>
          <w:rFonts w:hint="eastAsia" w:ascii="仿宋_GB2312" w:eastAsia="仿宋_GB2312" w:cs="DengXian-Regular"/>
          <w:sz w:val="32"/>
          <w:szCs w:val="32"/>
        </w:rPr>
      </w:pPr>
      <w:r>
        <w:rPr>
          <w:rFonts w:hint="eastAsia" w:ascii="仿宋_GB2312" w:hAnsi="仿宋" w:eastAsia="仿宋_GB2312"/>
          <w:color w:val="000000"/>
          <w:sz w:val="32"/>
          <w:szCs w:val="32"/>
          <w:lang w:val="en-US" w:eastAsia="zh-CN"/>
        </w:rPr>
        <w:t xml:space="preserve">  </w:t>
      </w:r>
      <w:r>
        <w:rPr>
          <w:rFonts w:hint="eastAsia" w:ascii="仿宋_GB2312" w:eastAsia="仿宋_GB2312" w:cs="DengXian-Regular"/>
          <w:sz w:val="32"/>
          <w:szCs w:val="32"/>
        </w:rPr>
        <w:t>（二）预算项目绩效评价开展情况</w:t>
      </w:r>
    </w:p>
    <w:p>
      <w:pPr>
        <w:keepNext w:val="0"/>
        <w:keepLines w:val="0"/>
        <w:pageBreakBefore w:val="0"/>
        <w:widowControl w:val="0"/>
        <w:kinsoku/>
        <w:wordWrap/>
        <w:overflowPunct/>
        <w:topLinePunct w:val="0"/>
        <w:bidi w:val="0"/>
        <w:adjustRightInd w:val="0"/>
        <w:snapToGrid w:val="0"/>
        <w:spacing w:after="0" w:line="600" w:lineRule="exact"/>
        <w:ind w:right="0"/>
        <w:textAlignment w:val="auto"/>
        <w:rPr>
          <w:rFonts w:hint="eastAsia" w:ascii="仿宋_GB2312" w:eastAsia="仿宋_GB2312" w:cs="DengXian-Regular"/>
          <w:sz w:val="32"/>
          <w:szCs w:val="32"/>
        </w:rPr>
      </w:pPr>
      <w:r>
        <w:rPr>
          <w:rFonts w:hint="eastAsia" w:ascii="仿宋_GB2312" w:eastAsia="仿宋_GB2312" w:cs="DengXian-Regular"/>
          <w:sz w:val="32"/>
          <w:szCs w:val="32"/>
          <w:lang w:val="en-US" w:eastAsia="zh-CN"/>
        </w:rPr>
        <w:t xml:space="preserve">   </w:t>
      </w:r>
      <w:r>
        <w:rPr>
          <w:rFonts w:hint="eastAsia" w:ascii="仿宋_GB2312" w:eastAsia="仿宋_GB2312" w:cs="DengXian-Regular"/>
          <w:sz w:val="32"/>
          <w:szCs w:val="32"/>
        </w:rPr>
        <w:t>1、2017年，</w:t>
      </w:r>
      <w:r>
        <w:rPr>
          <w:rFonts w:hint="eastAsia" w:ascii="仿宋_GB2312" w:eastAsia="仿宋_GB2312" w:cs="DengXian-Regular"/>
          <w:sz w:val="32"/>
          <w:szCs w:val="32"/>
          <w:lang w:eastAsia="zh-CN"/>
        </w:rPr>
        <w:t>县</w:t>
      </w:r>
      <w:r>
        <w:rPr>
          <w:rFonts w:hint="eastAsia" w:ascii="仿宋_GB2312" w:eastAsia="仿宋_GB2312" w:cs="DengXian-Regular"/>
          <w:sz w:val="32"/>
          <w:szCs w:val="32"/>
        </w:rPr>
        <w:t>编委办贯彻落实中央、省</w:t>
      </w:r>
      <w:r>
        <w:rPr>
          <w:rFonts w:hint="eastAsia" w:ascii="仿宋_GB2312" w:eastAsia="仿宋_GB2312" w:cs="DengXian-Regular"/>
          <w:sz w:val="32"/>
          <w:szCs w:val="32"/>
          <w:lang w:eastAsia="zh-CN"/>
        </w:rPr>
        <w:t>、</w:t>
      </w:r>
      <w:r>
        <w:rPr>
          <w:rFonts w:hint="eastAsia" w:ascii="仿宋_GB2312" w:eastAsia="仿宋_GB2312" w:cs="DengXian-Regular"/>
          <w:sz w:val="32"/>
          <w:szCs w:val="32"/>
        </w:rPr>
        <w:t>市</w:t>
      </w:r>
      <w:r>
        <w:rPr>
          <w:rFonts w:hint="eastAsia" w:ascii="仿宋_GB2312" w:eastAsia="仿宋_GB2312" w:cs="DengXian-Regular"/>
          <w:sz w:val="32"/>
          <w:szCs w:val="32"/>
          <w:lang w:eastAsia="zh-CN"/>
        </w:rPr>
        <w:t>和县</w:t>
      </w:r>
      <w:r>
        <w:rPr>
          <w:rFonts w:hint="eastAsia" w:ascii="仿宋_GB2312" w:eastAsia="仿宋_GB2312" w:cs="DengXian-Regular"/>
          <w:sz w:val="32"/>
          <w:szCs w:val="32"/>
        </w:rPr>
        <w:t>关于行政管理体制机构编制管理的政策和地方性法规草案并监督实施：促进了政府职能转变，基本构建了科学的行政管理体制；健全了政府职责体系，完善了公共服务体系。通过承担行政职能事业单位分类改革等重点工作，顺利完成了 2017 年政府机构改革项目。</w:t>
      </w:r>
    </w:p>
    <w:p>
      <w:pPr>
        <w:keepNext w:val="0"/>
        <w:keepLines w:val="0"/>
        <w:pageBreakBefore w:val="0"/>
        <w:widowControl w:val="0"/>
        <w:kinsoku/>
        <w:wordWrap/>
        <w:overflowPunct/>
        <w:topLinePunct w:val="0"/>
        <w:autoSpaceDE w:val="0"/>
        <w:autoSpaceDN w:val="0"/>
        <w:bidi w:val="0"/>
        <w:spacing w:before="0" w:after="0" w:line="600" w:lineRule="exact"/>
        <w:ind w:left="0" w:leftChars="0" w:right="0" w:rightChars="0"/>
        <w:jc w:val="both"/>
        <w:textAlignment w:val="auto"/>
        <w:outlineLvl w:val="9"/>
        <w:rPr>
          <w:rFonts w:hint="eastAsia" w:ascii="仿宋_GB2312" w:eastAsia="仿宋_GB2312" w:cs="DengXian-Regular"/>
          <w:sz w:val="32"/>
          <w:szCs w:val="32"/>
        </w:rPr>
      </w:pPr>
      <w:r>
        <w:rPr>
          <w:rFonts w:hint="eastAsia" w:ascii="仿宋_GB2312" w:eastAsia="仿宋_GB2312" w:cs="DengXian-Regular"/>
          <w:sz w:val="32"/>
          <w:szCs w:val="32"/>
          <w:lang w:val="en-US" w:eastAsia="zh-CN"/>
        </w:rPr>
        <w:t xml:space="preserve">   </w:t>
      </w:r>
      <w:r>
        <w:rPr>
          <w:rFonts w:hint="eastAsia" w:ascii="仿宋_GB2312" w:eastAsia="仿宋_GB2312" w:cs="DengXian-Regular"/>
          <w:sz w:val="32"/>
          <w:szCs w:val="32"/>
        </w:rPr>
        <w:t>2、</w:t>
      </w:r>
      <w:r>
        <w:rPr>
          <w:rFonts w:hint="eastAsia" w:ascii="仿宋_GB2312" w:hAnsi="仿宋_GB2312" w:eastAsia="仿宋_GB2312"/>
          <w:sz w:val="32"/>
        </w:rPr>
        <w:t>2017 年，</w:t>
      </w:r>
      <w:r>
        <w:rPr>
          <w:rFonts w:hint="eastAsia" w:ascii="仿宋_GB2312" w:hAnsi="仿宋_GB2312" w:eastAsia="仿宋_GB2312"/>
          <w:sz w:val="32"/>
          <w:lang w:eastAsia="zh-CN"/>
        </w:rPr>
        <w:t>县</w:t>
      </w:r>
      <w:r>
        <w:rPr>
          <w:rFonts w:hint="eastAsia" w:ascii="仿宋_GB2312" w:hAnsi="仿宋_GB2312" w:eastAsia="仿宋_GB2312"/>
          <w:sz w:val="32"/>
        </w:rPr>
        <w:t>编委办严格落实机构编制管理有关工作要求，通过审核或审批</w:t>
      </w:r>
      <w:r>
        <w:rPr>
          <w:rFonts w:hint="eastAsia" w:ascii="仿宋_GB2312" w:hAnsi="仿宋_GB2312" w:eastAsia="仿宋_GB2312"/>
          <w:sz w:val="32"/>
          <w:lang w:eastAsia="zh-CN"/>
        </w:rPr>
        <w:t>县</w:t>
      </w:r>
      <w:r>
        <w:rPr>
          <w:rFonts w:hint="eastAsia" w:ascii="仿宋_GB2312" w:hAnsi="仿宋_GB2312" w:eastAsia="仿宋_GB2312"/>
          <w:sz w:val="32"/>
        </w:rPr>
        <w:t>委、</w:t>
      </w:r>
      <w:r>
        <w:rPr>
          <w:rFonts w:hint="eastAsia" w:ascii="仿宋_GB2312" w:hAnsi="仿宋_GB2312" w:eastAsia="仿宋_GB2312"/>
          <w:sz w:val="32"/>
          <w:lang w:eastAsia="zh-CN"/>
        </w:rPr>
        <w:t>县</w:t>
      </w:r>
      <w:r>
        <w:rPr>
          <w:rFonts w:hint="eastAsia" w:ascii="仿宋_GB2312" w:hAnsi="仿宋_GB2312" w:eastAsia="仿宋_GB2312"/>
          <w:sz w:val="32"/>
        </w:rPr>
        <w:t>政府，人大、政协、法院、检察院机关，人民团体机关的机构编制管理事项、探索机构编制动态管理等工作手段，实现了机构编制结构合理、财政人员只减不增的绩效目标，完成了机构编制资料</w:t>
      </w:r>
      <w:r>
        <w:rPr>
          <w:rFonts w:hint="eastAsia" w:ascii="仿宋_GB2312" w:hAnsi="仿宋_GB2312" w:eastAsia="仿宋_GB2312"/>
          <w:sz w:val="32"/>
          <w:lang w:eastAsia="zh-CN"/>
        </w:rPr>
        <w:t>统计上报</w:t>
      </w:r>
      <w:r>
        <w:rPr>
          <w:rFonts w:hint="eastAsia" w:ascii="仿宋_GB2312" w:hAnsi="仿宋_GB2312" w:eastAsia="仿宋_GB2312"/>
          <w:sz w:val="32"/>
        </w:rPr>
        <w:t>等工作，实现了机构编制管理为建设经济强</w:t>
      </w:r>
      <w:r>
        <w:rPr>
          <w:rFonts w:hint="eastAsia" w:ascii="仿宋_GB2312" w:hAnsi="仿宋_GB2312" w:eastAsia="仿宋_GB2312"/>
          <w:sz w:val="32"/>
          <w:lang w:eastAsia="zh-CN"/>
        </w:rPr>
        <w:t>区</w:t>
      </w:r>
      <w:r>
        <w:rPr>
          <w:rFonts w:hint="eastAsia" w:ascii="仿宋_GB2312" w:hAnsi="仿宋_GB2312" w:eastAsia="仿宋_GB2312"/>
          <w:sz w:val="32"/>
        </w:rPr>
        <w:t>提供有力机制体制保障的年初目标。</w:t>
      </w:r>
    </w:p>
    <w:p>
      <w:pPr>
        <w:keepNext w:val="0"/>
        <w:keepLines w:val="0"/>
        <w:pageBreakBefore w:val="0"/>
        <w:widowControl w:val="0"/>
        <w:kinsoku/>
        <w:wordWrap/>
        <w:overflowPunct/>
        <w:topLinePunct w:val="0"/>
        <w:bidi w:val="0"/>
        <w:adjustRightInd w:val="0"/>
        <w:snapToGrid w:val="0"/>
        <w:spacing w:after="0" w:line="600" w:lineRule="exact"/>
        <w:ind w:right="0"/>
        <w:textAlignment w:val="auto"/>
        <w:rPr>
          <w:rFonts w:hint="eastAsia" w:ascii="仿宋_GB2312" w:eastAsia="仿宋_GB2312" w:cs="DengXian-Regular"/>
          <w:sz w:val="32"/>
          <w:szCs w:val="32"/>
        </w:rPr>
      </w:pPr>
      <w:r>
        <w:rPr>
          <w:rFonts w:hint="eastAsia" w:ascii="仿宋_GB2312" w:eastAsia="仿宋_GB2312" w:cs="DengXian-Regular"/>
          <w:sz w:val="32"/>
          <w:szCs w:val="32"/>
          <w:lang w:val="en-US" w:eastAsia="zh-CN"/>
        </w:rPr>
        <w:t xml:space="preserve">  </w:t>
      </w:r>
      <w:r>
        <w:rPr>
          <w:rFonts w:hint="eastAsia" w:ascii="仿宋_GB2312" w:eastAsia="仿宋_GB2312" w:cs="DengXian-Regular"/>
          <w:sz w:val="32"/>
          <w:szCs w:val="32"/>
        </w:rPr>
        <w:t>3、2017 年，</w:t>
      </w:r>
      <w:r>
        <w:rPr>
          <w:rFonts w:hint="eastAsia" w:ascii="仿宋_GB2312" w:eastAsia="仿宋_GB2312" w:cs="DengXian-Regular"/>
          <w:sz w:val="32"/>
          <w:szCs w:val="32"/>
          <w:lang w:eastAsia="zh-CN"/>
        </w:rPr>
        <w:t>县</w:t>
      </w:r>
      <w:r>
        <w:rPr>
          <w:rFonts w:hint="eastAsia" w:ascii="仿宋_GB2312" w:eastAsia="仿宋_GB2312" w:cs="DengXian-Regular"/>
          <w:sz w:val="32"/>
          <w:szCs w:val="32"/>
        </w:rPr>
        <w:t>编委办党的十九大精神及习近平新时代中国</w:t>
      </w:r>
    </w:p>
    <w:p>
      <w:pPr>
        <w:keepNext w:val="0"/>
        <w:keepLines w:val="0"/>
        <w:pageBreakBefore w:val="0"/>
        <w:widowControl w:val="0"/>
        <w:kinsoku/>
        <w:wordWrap/>
        <w:overflowPunct/>
        <w:topLinePunct w:val="0"/>
        <w:bidi w:val="0"/>
        <w:adjustRightInd w:val="0"/>
        <w:snapToGrid w:val="0"/>
        <w:spacing w:after="0" w:line="600" w:lineRule="exact"/>
        <w:ind w:right="0"/>
        <w:textAlignment w:val="auto"/>
        <w:rPr>
          <w:rFonts w:hint="eastAsia" w:ascii="仿宋_GB2312" w:eastAsia="仿宋_GB2312" w:cs="DengXian-Regular"/>
          <w:sz w:val="32"/>
          <w:szCs w:val="32"/>
        </w:rPr>
      </w:pPr>
      <w:r>
        <w:rPr>
          <w:rFonts w:hint="eastAsia" w:ascii="仿宋_GB2312" w:eastAsia="仿宋_GB2312" w:cs="DengXian-Regular"/>
          <w:sz w:val="32"/>
          <w:szCs w:val="32"/>
        </w:rPr>
        <w:t>特色社会主义思想为指导，全力开展党建、扶贫等综合事务管理</w:t>
      </w:r>
    </w:p>
    <w:p>
      <w:pPr>
        <w:keepNext w:val="0"/>
        <w:keepLines w:val="0"/>
        <w:pageBreakBefore w:val="0"/>
        <w:widowControl w:val="0"/>
        <w:kinsoku/>
        <w:wordWrap/>
        <w:overflowPunct/>
        <w:topLinePunct w:val="0"/>
        <w:bidi w:val="0"/>
        <w:adjustRightInd w:val="0"/>
        <w:snapToGrid w:val="0"/>
        <w:spacing w:after="0" w:line="600" w:lineRule="exact"/>
        <w:ind w:right="0"/>
        <w:textAlignment w:val="auto"/>
        <w:rPr>
          <w:rFonts w:hint="eastAsia" w:ascii="仿宋_GB2312" w:eastAsia="仿宋_GB2312" w:cs="DengXian-Regular"/>
          <w:sz w:val="32"/>
          <w:szCs w:val="32"/>
        </w:rPr>
      </w:pPr>
      <w:r>
        <w:rPr>
          <w:rFonts w:hint="eastAsia" w:ascii="仿宋_GB2312" w:eastAsia="仿宋_GB2312" w:cs="DengXian-Regular"/>
          <w:sz w:val="32"/>
          <w:szCs w:val="32"/>
        </w:rPr>
        <w:t>工作，顺利完成了党建综合事务、扶贫村帮扶等工作目标。</w:t>
      </w:r>
    </w:p>
    <w:p>
      <w:pPr>
        <w:keepNext w:val="0"/>
        <w:keepLines w:val="0"/>
        <w:pageBreakBefore w:val="0"/>
        <w:widowControl w:val="0"/>
        <w:kinsoku/>
        <w:wordWrap/>
        <w:overflowPunct/>
        <w:topLinePunct w:val="0"/>
        <w:autoSpaceDE w:val="0"/>
        <w:autoSpaceDN w:val="0"/>
        <w:bidi w:val="0"/>
        <w:spacing w:before="0" w:after="0" w:line="600" w:lineRule="exact"/>
        <w:ind w:right="0" w:rightChars="0" w:firstLine="320" w:firstLineChars="1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4、2017年，做好衔接落实省市取消下放行政审批事项，承接下放率达到100%；全面建立两个清单，并在政府网站向社会公开。</w:t>
      </w:r>
    </w:p>
    <w:p>
      <w:pPr>
        <w:keepNext w:val="0"/>
        <w:keepLines w:val="0"/>
        <w:pageBreakBefore w:val="0"/>
        <w:widowControl w:val="0"/>
        <w:numPr>
          <w:ilvl w:val="0"/>
          <w:numId w:val="0"/>
        </w:numPr>
        <w:kinsoku/>
        <w:wordWrap/>
        <w:overflowPunct/>
        <w:topLinePunct w:val="0"/>
        <w:autoSpaceDE w:val="0"/>
        <w:autoSpaceDN w:val="0"/>
        <w:bidi w:val="0"/>
        <w:spacing w:before="0" w:after="0" w:line="600" w:lineRule="exact"/>
        <w:ind w:right="0" w:rightChars="0" w:firstLine="640"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（三）预算项目绩效自评选例</w:t>
      </w:r>
    </w:p>
    <w:p>
      <w:pPr>
        <w:keepNext w:val="0"/>
        <w:keepLines w:val="0"/>
        <w:pageBreakBefore w:val="0"/>
        <w:widowControl w:val="0"/>
        <w:kinsoku/>
        <w:wordWrap/>
        <w:overflowPunct/>
        <w:topLinePunct w:val="0"/>
        <w:autoSpaceDE/>
        <w:autoSpaceDN w:val="0"/>
        <w:bidi w:val="0"/>
        <w:adjustRightInd/>
        <w:snapToGrid/>
        <w:spacing w:line="600" w:lineRule="exact"/>
        <w:ind w:right="0" w:firstLine="0"/>
        <w:jc w:val="left"/>
        <w:textAlignment w:val="auto"/>
        <w:rPr>
          <w:rFonts w:hint="eastAsia" w:ascii="仿宋_GB2312" w:hAnsi="仿宋_GB2312" w:eastAsia="仿宋_GB2312"/>
          <w:b w:val="0"/>
          <w:i w:val="0"/>
          <w:snapToGrid/>
          <w:color w:val="000000"/>
          <w:sz w:val="32"/>
          <w:u w:val="none"/>
          <w:lang w:eastAsia="zh-CN"/>
        </w:rPr>
      </w:pPr>
      <w:r>
        <w:rPr>
          <w:rFonts w:hint="eastAsia" w:ascii="仿宋_GB2312" w:hAnsi="仿宋_GB2312" w:eastAsia="仿宋_GB2312"/>
          <w:sz w:val="32"/>
          <w:lang w:val="en-US" w:eastAsia="zh-CN"/>
        </w:rPr>
        <w:t xml:space="preserve">    行政审批制度改革的绩效目标是：衔接落实好省市</w:t>
      </w:r>
      <w:r>
        <w:rPr>
          <w:rFonts w:hint="eastAsia" w:ascii="仿宋_GB2312" w:hAnsi="仿宋_GB2312" w:eastAsia="仿宋_GB2312"/>
          <w:b w:val="0"/>
          <w:i w:val="0"/>
          <w:snapToGrid/>
          <w:color w:val="000000"/>
          <w:sz w:val="32"/>
          <w:u w:val="none"/>
          <w:lang w:eastAsia="zh-CN"/>
        </w:rPr>
        <w:t>下放的行政审批事项；梳理权责清单。</w:t>
      </w:r>
    </w:p>
    <w:p>
      <w:pPr>
        <w:keepNext w:val="0"/>
        <w:keepLines w:val="0"/>
        <w:pageBreakBefore w:val="0"/>
        <w:widowControl w:val="0"/>
        <w:kinsoku/>
        <w:wordWrap/>
        <w:overflowPunct/>
        <w:topLinePunct w:val="0"/>
        <w:autoSpaceDE/>
        <w:autoSpaceDN w:val="0"/>
        <w:bidi w:val="0"/>
        <w:adjustRightInd/>
        <w:snapToGrid/>
        <w:spacing w:line="600" w:lineRule="exact"/>
        <w:ind w:right="0" w:firstLine="0"/>
        <w:jc w:val="left"/>
        <w:textAlignment w:val="auto"/>
        <w:rPr>
          <w:rFonts w:hint="eastAsia" w:ascii="仿宋_GB2312" w:hAnsi="仿宋_GB2312" w:eastAsia="仿宋_GB2312"/>
          <w:sz w:val="32"/>
          <w:lang w:val="en-US" w:eastAsia="zh-CN"/>
        </w:rPr>
      </w:pPr>
      <w:r>
        <w:rPr>
          <w:rFonts w:hint="eastAsia" w:ascii="仿宋_GB2312" w:hAnsi="仿宋_GB2312" w:eastAsia="仿宋_GB2312"/>
          <w:b w:val="0"/>
          <w:i w:val="0"/>
          <w:snapToGrid/>
          <w:color w:val="auto"/>
          <w:sz w:val="32"/>
          <w:lang w:val="en-US" w:eastAsia="zh-CN"/>
        </w:rPr>
        <w:t xml:space="preserve">    </w:t>
      </w:r>
      <w:r>
        <w:rPr>
          <w:rFonts w:hint="eastAsia" w:ascii="仿宋_GB2312" w:hAnsi="仿宋_GB2312" w:eastAsia="仿宋_GB2312"/>
          <w:b w:val="0"/>
          <w:i w:val="0"/>
          <w:snapToGrid/>
          <w:color w:val="auto"/>
          <w:sz w:val="32"/>
          <w:lang w:eastAsia="zh-CN"/>
        </w:rPr>
        <w:t>衔接落实好上级下放的审批事项，对本县本级行政审批事项</w:t>
      </w:r>
      <w:r>
        <w:rPr>
          <w:rFonts w:hint="default" w:ascii="仿宋_GB2312" w:hAnsi="仿宋_GB2312" w:eastAsia="仿宋_GB2312"/>
          <w:b w:val="0"/>
          <w:i w:val="0"/>
          <w:snapToGrid/>
          <w:color w:val="auto"/>
          <w:sz w:val="32"/>
          <w:lang w:eastAsia="zh-CN"/>
        </w:rPr>
        <w:t>按照规定的时限和要求</w:t>
      </w:r>
      <w:r>
        <w:rPr>
          <w:rFonts w:hint="eastAsia" w:ascii="仿宋_GB2312" w:hAnsi="仿宋_GB2312" w:eastAsia="仿宋_GB2312"/>
          <w:b w:val="0"/>
          <w:i w:val="0"/>
          <w:snapToGrid/>
          <w:color w:val="auto"/>
          <w:sz w:val="32"/>
          <w:lang w:eastAsia="zh-CN"/>
        </w:rPr>
        <w:t>在</w:t>
      </w:r>
      <w:r>
        <w:rPr>
          <w:rFonts w:hint="default" w:ascii="仿宋_GB2312" w:hAnsi="仿宋_GB2312" w:eastAsia="仿宋_GB2312"/>
          <w:b w:val="0"/>
          <w:i w:val="0"/>
          <w:snapToGrid/>
          <w:color w:val="auto"/>
          <w:sz w:val="32"/>
          <w:lang w:eastAsia="zh-CN"/>
        </w:rPr>
        <w:t>门户网站适时公开</w:t>
      </w:r>
      <w:r>
        <w:rPr>
          <w:rFonts w:hint="eastAsia" w:ascii="仿宋_GB2312" w:hAnsi="仿宋_GB2312" w:eastAsia="仿宋_GB2312"/>
          <w:b w:val="0"/>
          <w:i w:val="0"/>
          <w:snapToGrid/>
          <w:color w:val="auto"/>
          <w:sz w:val="32"/>
          <w:lang w:eastAsia="zh-CN"/>
        </w:rPr>
        <w:t>，</w:t>
      </w:r>
      <w:r>
        <w:rPr>
          <w:rFonts w:hint="default" w:ascii="仿宋_GB2312" w:hAnsi="仿宋_GB2312" w:eastAsia="仿宋_GB2312"/>
          <w:b w:val="0"/>
          <w:i w:val="0"/>
          <w:snapToGrid/>
          <w:color w:val="auto"/>
          <w:sz w:val="32"/>
          <w:lang w:eastAsia="zh-CN"/>
        </w:rPr>
        <w:t>主动接受社会监督。</w:t>
      </w:r>
      <w:r>
        <w:rPr>
          <w:rFonts w:hint="eastAsia" w:ascii="仿宋_GB2312" w:hAnsi="仿宋_GB2312" w:eastAsia="仿宋_GB2312"/>
          <w:b w:val="0"/>
          <w:i w:val="0"/>
          <w:snapToGrid/>
          <w:color w:val="auto"/>
          <w:sz w:val="32"/>
          <w:lang w:eastAsia="zh-CN"/>
        </w:rPr>
        <w:t>通过评价，行政审批事项圆满完成衔接下放工作。</w:t>
      </w:r>
    </w:p>
    <w:p>
      <w:pPr>
        <w:pStyle w:val="3"/>
        <w:spacing w:before="0" w:after="0" w:line="560" w:lineRule="exact"/>
        <w:ind w:firstLine="643" w:firstLineChars="200"/>
        <w:rPr>
          <w:rFonts w:ascii="黑体" w:eastAsia="黑体" w:cs="Times New Roman"/>
        </w:rPr>
      </w:pPr>
      <w:r>
        <w:rPr>
          <w:rFonts w:hint="eastAsia" w:ascii="黑体" w:eastAsia="黑体" w:cs="Times New Roman"/>
        </w:rPr>
        <w:t>七、其他重要事项的说明</w:t>
      </w:r>
    </w:p>
    <w:p>
      <w:pPr>
        <w:pStyle w:val="4"/>
        <w:spacing w:before="0" w:after="0" w:line="560" w:lineRule="exact"/>
        <w:ind w:firstLine="643" w:firstLineChars="200"/>
        <w:rPr>
          <w:rFonts w:ascii="楷体_GB2312" w:eastAsia="楷体_GB2312" w:cs="DengXian-Bold"/>
        </w:rPr>
      </w:pPr>
      <w:r>
        <w:rPr>
          <w:rFonts w:hint="eastAsia" w:ascii="楷体_GB2312" w:eastAsia="楷体_GB2312" w:cs="DengXian-Bold"/>
        </w:rPr>
        <w:t>（一）机关运行经费情况</w:t>
      </w:r>
    </w:p>
    <w:p>
      <w:pPr>
        <w:rPr>
          <w:rFonts w:ascii="仿宋_GB2312" w:eastAsia="仿宋_GB2312" w:cs="DengXian-Regular"/>
          <w:sz w:val="32"/>
          <w:szCs w:val="32"/>
        </w:rPr>
      </w:pPr>
      <w:r>
        <w:rPr>
          <w:rFonts w:hint="eastAsia" w:ascii="仿宋_GB2312" w:eastAsia="仿宋_GB2312" w:cs="DengXian-Regular"/>
          <w:sz w:val="32"/>
          <w:szCs w:val="32"/>
          <w:lang w:val="en-US" w:eastAsia="zh-CN"/>
        </w:rPr>
        <w:t xml:space="preserve">  </w:t>
      </w:r>
      <w:r>
        <w:rPr>
          <w:rFonts w:hint="eastAsia" w:ascii="仿宋_GB2312" w:eastAsia="仿宋_GB2312" w:cs="DengXian-Regular"/>
          <w:sz w:val="32"/>
          <w:szCs w:val="32"/>
        </w:rPr>
        <w:t>本部门2017年度机关运行经费支出</w:t>
      </w:r>
      <w:r>
        <w:rPr>
          <w:rFonts w:hint="eastAsia" w:ascii="仿宋_GB2312" w:eastAsia="仿宋_GB2312" w:cs="DengXian-Regular"/>
          <w:sz w:val="32"/>
          <w:szCs w:val="32"/>
          <w:lang w:val="en-US" w:eastAsia="zh-CN"/>
        </w:rPr>
        <w:t>7.25</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主要包括：办公费</w:t>
      </w:r>
      <w:r>
        <w:rPr>
          <w:rFonts w:hint="eastAsia" w:ascii="仿宋_GB2312" w:eastAsia="仿宋_GB2312" w:cs="DengXian-Regular"/>
          <w:sz w:val="32"/>
          <w:szCs w:val="32"/>
          <w:lang w:val="en-US" w:eastAsia="zh-CN"/>
        </w:rPr>
        <w:t>1.23万元，印刷费0.98万元，邮电费0.48万元，差旅费0.72万元，其他交通费用3.74万元，工会经费0.1万元。</w:t>
      </w:r>
      <w:r>
        <w:rPr>
          <w:rFonts w:hint="eastAsia" w:ascii="仿宋_GB2312" w:eastAsia="仿宋_GB2312" w:cs="DengXian-Regular"/>
          <w:sz w:val="32"/>
          <w:szCs w:val="32"/>
        </w:rPr>
        <w:t>比2016年度增加</w:t>
      </w:r>
      <w:r>
        <w:rPr>
          <w:rFonts w:hint="eastAsia" w:ascii="仿宋_GB2312" w:eastAsia="仿宋_GB2312" w:cs="DengXian-Regular"/>
          <w:sz w:val="32"/>
          <w:szCs w:val="32"/>
          <w:lang w:val="en-US" w:eastAsia="zh-CN"/>
        </w:rPr>
        <w:t>1.05</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16.94</w:t>
      </w:r>
      <w:r>
        <w:rPr>
          <w:rFonts w:hint="eastAsia" w:ascii="仿宋_GB2312" w:eastAsia="仿宋_GB2312" w:cs="DengXian-Regular"/>
          <w:sz w:val="32"/>
          <w:szCs w:val="32"/>
        </w:rPr>
        <w:t>%。主要原因一是工作人员增加后相应增加了机关运行成本；二是 2017 年承担的改革任务较重工作量相应</w:t>
      </w:r>
      <w:r>
        <w:rPr>
          <w:rFonts w:hint="eastAsia" w:ascii="仿宋_GB2312" w:eastAsia="仿宋_GB2312" w:cs="DengXian-Regular"/>
          <w:sz w:val="32"/>
          <w:szCs w:val="32"/>
          <w:lang w:eastAsia="zh-CN"/>
        </w:rPr>
        <w:t>增加。</w:t>
      </w:r>
    </w:p>
    <w:p>
      <w:pPr>
        <w:pStyle w:val="4"/>
        <w:spacing w:before="0" w:after="0" w:line="560" w:lineRule="exact"/>
        <w:ind w:firstLine="643" w:firstLineChars="200"/>
        <w:rPr>
          <w:rFonts w:ascii="楷体_GB2312" w:eastAsia="楷体_GB2312" w:cs="DengXian-Bold"/>
        </w:rPr>
      </w:pPr>
      <w:r>
        <w:rPr>
          <w:rFonts w:hint="eastAsia" w:ascii="楷体_GB2312" w:eastAsia="楷体_GB2312" w:cs="DengXian-Bold"/>
        </w:rPr>
        <w:t>（二）政府采购情况</w:t>
      </w:r>
    </w:p>
    <w:p>
      <w:pPr>
        <w:adjustRightInd w:val="0"/>
        <w:snapToGrid w:val="0"/>
        <w:spacing w:after="0" w:line="56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本部门2017年度政府采购支出总额</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万元，其中：政府采购货物支出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万元、政府采购工程支出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万元、政府采购服务支出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w:t>
      </w:r>
    </w:p>
    <w:p>
      <w:pPr>
        <w:pStyle w:val="4"/>
        <w:spacing w:before="0" w:after="0" w:line="56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60"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rPr>
        <w:t>截至2017年12月31日，</w:t>
      </w:r>
      <w:r>
        <w:rPr>
          <w:rFonts w:hint="eastAsia" w:ascii="仿宋_GB2312" w:eastAsia="仿宋_GB2312" w:cs="DengXian-Regular"/>
          <w:sz w:val="32"/>
          <w:szCs w:val="32"/>
          <w:lang w:eastAsia="zh-CN"/>
        </w:rPr>
        <w:t>资产总额</w:t>
      </w:r>
      <w:r>
        <w:rPr>
          <w:rFonts w:hint="eastAsia" w:ascii="仿宋_GB2312" w:eastAsia="仿宋_GB2312" w:cs="DengXian-Regular"/>
          <w:sz w:val="32"/>
          <w:szCs w:val="32"/>
          <w:lang w:val="en-US" w:eastAsia="zh-CN"/>
        </w:rPr>
        <w:t>6.16万元，与上年相比增加了26.18%，其中：固定资产5.7万元，比上年增加16.7%，占资产总量的92.53%；流动资产0.46万元。</w:t>
      </w:r>
    </w:p>
    <w:p>
      <w:pPr>
        <w:adjustRightInd w:val="0"/>
        <w:snapToGrid w:val="0"/>
        <w:spacing w:after="0" w:line="56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本部门共有车辆</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辆，其中</w:t>
      </w:r>
      <w:r>
        <w:rPr>
          <w:rFonts w:hint="eastAsia" w:ascii="仿宋_GB2312" w:eastAsia="仿宋_GB2312" w:cs="DengXian-Regular"/>
          <w:sz w:val="32"/>
          <w:szCs w:val="32"/>
          <w:lang w:val="en-US" w:eastAsia="zh-CN"/>
        </w:rPr>
        <w:t>县</w:t>
      </w:r>
      <w:r>
        <w:rPr>
          <w:rFonts w:hint="eastAsia" w:ascii="仿宋_GB2312" w:eastAsia="仿宋_GB2312" w:cs="DengXian-Regular"/>
          <w:sz w:val="32"/>
          <w:szCs w:val="32"/>
        </w:rPr>
        <w:t>级领导干部用车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辆、一般公务用车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辆、一般执法执勤用车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万元以上大型设备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万元以上大型设备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w:t>
      </w:r>
    </w:p>
    <w:p>
      <w:pPr>
        <w:adjustRightInd w:val="0"/>
        <w:snapToGrid w:val="0"/>
        <w:spacing w:after="0" w:line="560"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资产增加的原因是：单位新增办公设备0.82万元。</w:t>
      </w:r>
    </w:p>
    <w:p>
      <w:pPr>
        <w:adjustRightInd w:val="0"/>
        <w:snapToGrid w:val="0"/>
        <w:spacing w:after="0" w:line="560" w:lineRule="exact"/>
        <w:ind w:firstLine="640" w:firstLineChars="200"/>
        <w:rPr>
          <w:rFonts w:hint="eastAsia" w:ascii="仿宋_GB2312" w:eastAsia="仿宋_GB2312" w:cs="DengXian-Regular"/>
          <w:sz w:val="32"/>
          <w:szCs w:val="32"/>
        </w:rPr>
      </w:pPr>
    </w:p>
    <w:p>
      <w:pPr>
        <w:pStyle w:val="4"/>
        <w:spacing w:before="0" w:after="0" w:line="56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6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1、本部门2017年度政府性基金</w:t>
      </w:r>
      <w:r>
        <w:rPr>
          <w:rFonts w:hint="eastAsia" w:ascii="仿宋_GB2312" w:eastAsia="仿宋_GB2312" w:cs="DengXian-Regular"/>
          <w:sz w:val="32"/>
          <w:szCs w:val="32"/>
          <w:lang w:eastAsia="zh-CN"/>
        </w:rPr>
        <w:t>、国有资本、政府采购情况表</w:t>
      </w:r>
      <w:r>
        <w:rPr>
          <w:rFonts w:hint="eastAsia" w:ascii="仿宋_GB2312" w:eastAsia="仿宋_GB2312" w:cs="DengXian-Regular"/>
          <w:sz w:val="32"/>
          <w:szCs w:val="32"/>
        </w:rPr>
        <w:t>无收支及结转结余情况，故以空表列示。</w:t>
      </w:r>
    </w:p>
    <w:p>
      <w:pPr>
        <w:adjustRightInd w:val="0"/>
        <w:snapToGrid w:val="0"/>
        <w:spacing w:after="0" w:line="56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pStyle w:val="2"/>
        <w:jc w:val="center"/>
        <w:rPr>
          <w:rFonts w:cs="SimSun,Bold" w:asciiTheme="majorEastAsia" w:hAnsiTheme="majorEastAsia" w:eastAsiaTheme="majorEastAsia"/>
        </w:rPr>
      </w:pPr>
      <w:r>
        <w:rPr>
          <w:rFonts w:hint="eastAsia" w:cs="SimSun,Bold" w:asciiTheme="majorEastAsia" w:hAnsiTheme="majorEastAsia" w:eastAsiaTheme="majorEastAsia"/>
        </w:rPr>
        <w:t>第四部分</w:t>
      </w:r>
      <w:r>
        <w:rPr>
          <w:rFonts w:hint="eastAsia" w:cs="SimSun,Bold" w:asciiTheme="majorEastAsia" w:hAnsiTheme="majorEastAsia" w:eastAsiaTheme="majorEastAsia"/>
          <w:bCs w:val="0"/>
        </w:rPr>
        <w:t xml:space="preserve"> </w:t>
      </w:r>
      <w:r>
        <w:rPr>
          <w:rFonts w:hint="eastAsia" w:cs="SimSun,Bold" w:asciiTheme="majorEastAsia" w:hAnsiTheme="majorEastAsia" w:eastAsiaTheme="majorEastAsia"/>
        </w:rPr>
        <w:t>名词解释</w:t>
      </w:r>
    </w:p>
    <w:p>
      <w:pPr>
        <w:widowControl/>
        <w:spacing w:after="0" w:line="560" w:lineRule="exact"/>
        <w:ind w:firstLine="640" w:firstLineChars="200"/>
        <w:rPr>
          <w:rFonts w:ascii="仿宋_GB2312" w:eastAsia="仿宋_GB2312" w:hAnsiTheme="majorEastAsia"/>
          <w:color w:val="000000"/>
          <w:kern w:val="0"/>
          <w:sz w:val="32"/>
          <w:szCs w:val="32"/>
        </w:rPr>
      </w:pPr>
      <w:r>
        <w:rPr>
          <w:rFonts w:hint="eastAsia" w:ascii="仿宋_GB2312" w:eastAsia="仿宋_GB2312" w:hAnsiTheme="majorEastAsia"/>
          <w:color w:val="000000"/>
          <w:kern w:val="0"/>
          <w:sz w:val="32"/>
          <w:szCs w:val="32"/>
        </w:rPr>
        <w:t>（一）财政拨款收入：本年度从本级财政部门取得的财政拨款，包括一般公共预算财政拨款和政府性基金预算财政拨款。</w:t>
      </w:r>
    </w:p>
    <w:p>
      <w:pPr>
        <w:widowControl/>
        <w:spacing w:after="0" w:line="560" w:lineRule="exact"/>
        <w:ind w:firstLine="640" w:firstLineChars="200"/>
        <w:rPr>
          <w:rFonts w:ascii="仿宋_GB2312" w:eastAsia="仿宋_GB2312" w:hAnsiTheme="majorEastAsia"/>
          <w:color w:val="000000"/>
          <w:kern w:val="0"/>
          <w:sz w:val="32"/>
          <w:szCs w:val="32"/>
        </w:rPr>
      </w:pPr>
      <w:r>
        <w:rPr>
          <w:rFonts w:hint="eastAsia" w:ascii="仿宋_GB2312" w:eastAsia="仿宋_GB2312" w:hAnsiTheme="majorEastAsia"/>
          <w:color w:val="000000"/>
          <w:kern w:val="0"/>
          <w:sz w:val="32"/>
          <w:szCs w:val="32"/>
        </w:rPr>
        <w:t>（二）事业收入：指事业单位开展专业业务活动及辅助活动所取得的收入。</w:t>
      </w:r>
    </w:p>
    <w:p>
      <w:pPr>
        <w:widowControl/>
        <w:spacing w:after="0" w:line="560" w:lineRule="exact"/>
        <w:ind w:firstLine="640" w:firstLineChars="200"/>
        <w:rPr>
          <w:rFonts w:ascii="仿宋_GB2312" w:eastAsia="仿宋_GB2312" w:hAnsiTheme="majorEastAsia"/>
          <w:color w:val="000000"/>
          <w:kern w:val="0"/>
          <w:sz w:val="32"/>
          <w:szCs w:val="32"/>
        </w:rPr>
      </w:pPr>
      <w:r>
        <w:rPr>
          <w:rFonts w:hint="eastAsia" w:ascii="仿宋_GB2312" w:eastAsia="仿宋_GB2312" w:hAnsiTheme="majorEastAsia"/>
          <w:color w:val="000000"/>
          <w:kern w:val="0"/>
          <w:sz w:val="32"/>
          <w:szCs w:val="32"/>
        </w:rPr>
        <w:t>（三）其他收入：指除上述“财政拨款收入”、“事业收入”、“经营收入”等以外的收入。</w:t>
      </w:r>
    </w:p>
    <w:p>
      <w:pPr>
        <w:widowControl/>
        <w:spacing w:after="0" w:line="560" w:lineRule="exact"/>
        <w:ind w:firstLine="640" w:firstLineChars="200"/>
        <w:rPr>
          <w:rFonts w:ascii="仿宋_GB2312" w:eastAsia="仿宋_GB2312" w:hAnsiTheme="majorEastAsia"/>
          <w:color w:val="000000"/>
          <w:kern w:val="0"/>
          <w:sz w:val="32"/>
          <w:szCs w:val="32"/>
        </w:rPr>
      </w:pPr>
      <w:r>
        <w:rPr>
          <w:rFonts w:hint="eastAsia" w:ascii="仿宋_GB2312" w:eastAsia="仿宋_GB2312" w:hAnsiTheme="majorEastAsia"/>
          <w:color w:val="000000"/>
          <w:kern w:val="0"/>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0" w:firstLineChars="200"/>
        <w:rPr>
          <w:rFonts w:ascii="仿宋_GB2312" w:eastAsia="仿宋_GB2312" w:hAnsiTheme="majorEastAsia"/>
          <w:color w:val="000000"/>
          <w:kern w:val="0"/>
          <w:sz w:val="32"/>
          <w:szCs w:val="32"/>
        </w:rPr>
      </w:pPr>
      <w:r>
        <w:rPr>
          <w:rFonts w:hint="eastAsia" w:ascii="仿宋_GB2312" w:eastAsia="仿宋_GB2312" w:hAnsiTheme="majorEastAsia"/>
          <w:color w:val="000000"/>
          <w:kern w:val="0"/>
          <w:sz w:val="32"/>
          <w:szCs w:val="32"/>
        </w:rPr>
        <w:t>（五）年初结转和结余：指以前年度尚未完成、结转到本年仍按原规定用途继续使用的资金，或项目已完成等产生的结余资金。</w:t>
      </w:r>
    </w:p>
    <w:p>
      <w:pPr>
        <w:widowControl/>
        <w:spacing w:after="0" w:line="560" w:lineRule="exact"/>
        <w:ind w:firstLine="640" w:firstLineChars="200"/>
        <w:rPr>
          <w:rFonts w:ascii="仿宋_GB2312" w:eastAsia="仿宋_GB2312" w:hAnsiTheme="majorEastAsia"/>
          <w:color w:val="000000"/>
          <w:kern w:val="0"/>
          <w:sz w:val="32"/>
          <w:szCs w:val="32"/>
        </w:rPr>
      </w:pPr>
      <w:r>
        <w:rPr>
          <w:rFonts w:hint="eastAsia" w:ascii="仿宋_GB2312" w:eastAsia="仿宋_GB2312" w:hAnsiTheme="majorEastAsia"/>
          <w:color w:val="000000"/>
          <w:kern w:val="0"/>
          <w:sz w:val="32"/>
          <w:szCs w:val="32"/>
        </w:rPr>
        <w:t>（六）结余分配：指事业单位按照事业单位会计制度的规定从非财政补助结余中分配的事业基金和职工福利基金等。</w:t>
      </w:r>
    </w:p>
    <w:p>
      <w:pPr>
        <w:widowControl/>
        <w:spacing w:after="0" w:line="560" w:lineRule="exact"/>
        <w:ind w:firstLine="640" w:firstLineChars="200"/>
        <w:rPr>
          <w:rFonts w:ascii="仿宋_GB2312" w:eastAsia="仿宋_GB2312" w:hAnsiTheme="majorEastAsia"/>
          <w:color w:val="000000"/>
          <w:kern w:val="0"/>
          <w:sz w:val="32"/>
          <w:szCs w:val="32"/>
        </w:rPr>
      </w:pPr>
      <w:r>
        <w:rPr>
          <w:rFonts w:hint="eastAsia" w:ascii="仿宋_GB2312" w:eastAsia="仿宋_GB2312" w:hAnsiTheme="majorEastAsia"/>
          <w:color w:val="000000"/>
          <w:kern w:val="0"/>
          <w:sz w:val="32"/>
          <w:szCs w:val="32"/>
        </w:rPr>
        <w:t>（七）年末结转和结余：指单位按有关规定结转到下年或以后年度继续使用的资金，或项目已完成等产生的结余资金。</w:t>
      </w:r>
    </w:p>
    <w:p>
      <w:pPr>
        <w:widowControl/>
        <w:spacing w:after="0" w:line="560" w:lineRule="exact"/>
        <w:ind w:firstLine="640" w:firstLineChars="200"/>
        <w:rPr>
          <w:rFonts w:ascii="仿宋_GB2312" w:eastAsia="仿宋_GB2312" w:hAnsiTheme="majorEastAsia"/>
          <w:color w:val="000000"/>
          <w:kern w:val="0"/>
          <w:sz w:val="32"/>
          <w:szCs w:val="32"/>
        </w:rPr>
      </w:pPr>
      <w:r>
        <w:rPr>
          <w:rFonts w:hint="eastAsia" w:ascii="仿宋_GB2312" w:eastAsia="仿宋_GB2312" w:hAnsiTheme="majorEastAsia"/>
          <w:color w:val="000000"/>
          <w:kern w:val="0"/>
          <w:sz w:val="32"/>
          <w:szCs w:val="32"/>
        </w:rPr>
        <w:t>（八）基本支出：填列单位为保障机构正常运转、完成日常工作任务而发生的各项支出。</w:t>
      </w:r>
    </w:p>
    <w:p>
      <w:pPr>
        <w:widowControl/>
        <w:spacing w:after="0" w:line="560" w:lineRule="exact"/>
        <w:ind w:firstLine="640" w:firstLineChars="200"/>
        <w:rPr>
          <w:rFonts w:ascii="仿宋_GB2312" w:eastAsia="仿宋_GB2312" w:hAnsiTheme="majorEastAsia"/>
          <w:color w:val="000000"/>
          <w:kern w:val="0"/>
          <w:sz w:val="32"/>
          <w:szCs w:val="32"/>
        </w:rPr>
      </w:pPr>
      <w:r>
        <w:rPr>
          <w:rFonts w:hint="eastAsia" w:ascii="仿宋_GB2312" w:eastAsia="仿宋_GB2312" w:hAnsiTheme="majorEastAsia"/>
          <w:color w:val="000000"/>
          <w:kern w:val="0"/>
          <w:sz w:val="32"/>
          <w:szCs w:val="32"/>
        </w:rPr>
        <w:t>（九）项目支出：填列单位为完成特定的行政工作任务或事业发展目标，在基本支出之外发生的各项支出</w:t>
      </w:r>
    </w:p>
    <w:p>
      <w:pPr>
        <w:widowControl/>
        <w:spacing w:after="0" w:line="560" w:lineRule="exact"/>
        <w:ind w:firstLine="640" w:firstLineChars="200"/>
        <w:rPr>
          <w:rFonts w:ascii="仿宋_GB2312" w:eastAsia="仿宋_GB2312" w:hAnsiTheme="majorEastAsia"/>
          <w:color w:val="000000"/>
          <w:kern w:val="0"/>
          <w:sz w:val="32"/>
          <w:szCs w:val="32"/>
        </w:rPr>
      </w:pPr>
      <w:r>
        <w:rPr>
          <w:rFonts w:hint="eastAsia" w:ascii="仿宋_GB2312" w:eastAsia="仿宋_GB2312" w:hAnsiTheme="majorEastAsia"/>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after="0" w:line="560" w:lineRule="exact"/>
        <w:ind w:firstLine="640" w:firstLineChars="200"/>
        <w:rPr>
          <w:rFonts w:ascii="仿宋_GB2312" w:eastAsia="仿宋_GB2312" w:hAnsiTheme="majorEastAsia"/>
          <w:color w:val="000000"/>
          <w:kern w:val="0"/>
          <w:sz w:val="32"/>
          <w:szCs w:val="32"/>
        </w:rPr>
      </w:pPr>
      <w:r>
        <w:rPr>
          <w:rFonts w:hint="eastAsia" w:ascii="仿宋_GB2312" w:eastAsia="仿宋_GB2312" w:hAnsiTheme="majorEastAsia"/>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widowControl/>
        <w:spacing w:after="0" w:line="560" w:lineRule="exact"/>
        <w:ind w:firstLine="640" w:firstLineChars="200"/>
        <w:rPr>
          <w:rFonts w:ascii="仿宋_GB2312" w:eastAsia="仿宋_GB2312" w:hAnsiTheme="majorEastAsia"/>
          <w:color w:val="000000"/>
          <w:kern w:val="0"/>
          <w:sz w:val="32"/>
          <w:szCs w:val="32"/>
        </w:rPr>
      </w:pPr>
      <w:r>
        <w:rPr>
          <w:rFonts w:hint="eastAsia" w:ascii="仿宋_GB2312" w:eastAsia="仿宋_GB2312" w:hAnsiTheme="majorEastAsia"/>
          <w:color w:val="000000"/>
          <w:kern w:val="0"/>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0" w:firstLineChars="200"/>
        <w:rPr>
          <w:rFonts w:ascii="仿宋_GB2312" w:eastAsia="仿宋_GB2312" w:hAnsiTheme="majorEastAsia"/>
          <w:color w:val="000000"/>
          <w:kern w:val="0"/>
          <w:sz w:val="32"/>
          <w:szCs w:val="32"/>
        </w:rPr>
      </w:pPr>
      <w:r>
        <w:rPr>
          <w:rFonts w:hint="eastAsia" w:ascii="仿宋_GB2312" w:eastAsia="仿宋_GB2312" w:hAnsiTheme="majorEastAsia"/>
          <w:color w:val="000000"/>
          <w:kern w:val="0"/>
          <w:sz w:val="32"/>
          <w:szCs w:val="32"/>
        </w:rPr>
        <w:t>（十三）其他交通费用：填列单位除公务用车运行维护费以外的其他交通费用。如飞机、船舶等的燃料费、维修费、过桥过路费、保险费、出租车费用、公务交通补贴等。</w:t>
      </w:r>
    </w:p>
    <w:p>
      <w:pPr>
        <w:widowControl/>
        <w:spacing w:after="0" w:line="560" w:lineRule="exact"/>
        <w:ind w:firstLine="640" w:firstLineChars="200"/>
        <w:rPr>
          <w:rFonts w:ascii="仿宋_GB2312" w:eastAsia="仿宋_GB2312" w:hAnsiTheme="majorEastAsia"/>
          <w:color w:val="000000"/>
          <w:kern w:val="0"/>
          <w:sz w:val="32"/>
          <w:szCs w:val="32"/>
        </w:rPr>
      </w:pPr>
      <w:r>
        <w:rPr>
          <w:rFonts w:hint="eastAsia" w:ascii="仿宋_GB2312" w:eastAsia="仿宋_GB2312" w:hAnsiTheme="majorEastAsia"/>
          <w:color w:val="000000"/>
          <w:kern w:val="0"/>
          <w:sz w:val="32"/>
          <w:szCs w:val="32"/>
        </w:rPr>
        <w:t>（十四）公务用车购置：填列单位公务用车车辆购置支出（含车辆购置税）。</w:t>
      </w:r>
    </w:p>
    <w:p>
      <w:pPr>
        <w:widowControl/>
        <w:spacing w:after="0" w:line="560" w:lineRule="exact"/>
        <w:ind w:firstLine="640" w:firstLineChars="200"/>
        <w:rPr>
          <w:rFonts w:ascii="仿宋_GB2312" w:eastAsia="仿宋_GB2312" w:hAnsiTheme="majorEastAsia"/>
          <w:color w:val="000000"/>
          <w:kern w:val="0"/>
          <w:sz w:val="32"/>
          <w:szCs w:val="32"/>
        </w:rPr>
      </w:pPr>
      <w:r>
        <w:rPr>
          <w:rFonts w:hint="eastAsia" w:ascii="仿宋_GB2312" w:eastAsia="仿宋_GB2312" w:hAnsiTheme="majorEastAsia"/>
          <w:color w:val="000000"/>
          <w:kern w:val="0"/>
          <w:sz w:val="32"/>
          <w:szCs w:val="32"/>
        </w:rPr>
        <w:t>（十五）其他交通工具购置：填列单位除公务用车外的其他各类交通工具（如船舶、飞机）购置支出（含车辆购置税）。</w:t>
      </w:r>
    </w:p>
    <w:p>
      <w:pPr>
        <w:widowControl/>
        <w:spacing w:after="0" w:line="560" w:lineRule="exact"/>
        <w:ind w:firstLine="640" w:firstLineChars="200"/>
        <w:rPr>
          <w:rFonts w:ascii="仿宋_GB2312" w:eastAsia="仿宋_GB2312" w:hAnsiTheme="majorEastAsia"/>
          <w:color w:val="000000"/>
          <w:kern w:val="0"/>
          <w:sz w:val="32"/>
          <w:szCs w:val="32"/>
        </w:rPr>
      </w:pPr>
      <w:r>
        <w:rPr>
          <w:rFonts w:hint="eastAsia" w:ascii="仿宋_GB2312" w:eastAsia="仿宋_GB2312" w:hAnsiTheme="majorEastAsia"/>
          <w:color w:val="000000"/>
          <w:kern w:val="0"/>
          <w:sz w:val="32"/>
          <w:szCs w:val="32"/>
        </w:rPr>
        <w:t>（十六） 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sectPr>
      <w:pgSz w:w="11906" w:h="16838"/>
      <w:pgMar w:top="2098" w:right="1474" w:bottom="1985"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UnicodeMS">
    <w:altName w:val="Batang"/>
    <w:panose1 w:val="00000000000000000000"/>
    <w:charset w:val="81"/>
    <w:family w:val="auto"/>
    <w:pitch w:val="default"/>
    <w:sig w:usb0="00000000" w:usb1="00000000" w:usb2="00000010" w:usb3="00000000" w:csb0="00080001" w:csb1="00000000"/>
  </w:font>
  <w:font w:name="MS-UIGothic,Bold">
    <w:altName w:val="Batang"/>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1" w:csb1="00000000"/>
  </w:font>
  <w:font w:name="楷体_GB2312">
    <w:panose1 w:val="02010609030101010101"/>
    <w:charset w:val="86"/>
    <w:family w:val="modern"/>
    <w:pitch w:val="default"/>
    <w:sig w:usb0="00000001" w:usb1="080E0000" w:usb2="00000000" w:usb3="00000000" w:csb0="00040000" w:csb1="00000000"/>
  </w:font>
  <w:font w:name="DengXian-Bold">
    <w:altName w:val="宋体"/>
    <w:panose1 w:val="00000000000000000000"/>
    <w:charset w:val="86"/>
    <w:family w:val="auto"/>
    <w:pitch w:val="default"/>
    <w:sig w:usb0="00000000" w:usb1="00000000" w:usb2="00000010" w:usb3="00000000" w:csb0="00040001" w:csb1="00000000"/>
  </w:font>
  <w:font w:name="仿宋">
    <w:altName w:val="微软雅黑"/>
    <w:panose1 w:val="02010609060101010101"/>
    <w:charset w:val="86"/>
    <w:family w:val="auto"/>
    <w:pitch w:val="default"/>
    <w:sig w:usb0="00000000" w:usb1="00000000" w:usb2="00000016"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SimSun,Bold">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080F3C52" w:usb2="00000016" w:usb3="00000000" w:csb0="0004001F"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3J9b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cNyfWwQIAANYFAAAOAAAAAAAA&#10;AAEAIAAAAB8BAABkcnMvZTJvRG9jLnhtbFBLBQYAAAAABgAGAFkBAABSBg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13"/>
    <w:rsid w:val="00024E7F"/>
    <w:rsid w:val="000475A0"/>
    <w:rsid w:val="000E2F81"/>
    <w:rsid w:val="00152FB8"/>
    <w:rsid w:val="001B3410"/>
    <w:rsid w:val="001C030D"/>
    <w:rsid w:val="002C04C4"/>
    <w:rsid w:val="002D08B0"/>
    <w:rsid w:val="00341C8F"/>
    <w:rsid w:val="00391D9D"/>
    <w:rsid w:val="003B6C51"/>
    <w:rsid w:val="003C1413"/>
    <w:rsid w:val="003C549F"/>
    <w:rsid w:val="003D5A16"/>
    <w:rsid w:val="005F4B66"/>
    <w:rsid w:val="00641318"/>
    <w:rsid w:val="0070664B"/>
    <w:rsid w:val="007071B8"/>
    <w:rsid w:val="007414DE"/>
    <w:rsid w:val="007905A9"/>
    <w:rsid w:val="007E5500"/>
    <w:rsid w:val="00840A97"/>
    <w:rsid w:val="008C0149"/>
    <w:rsid w:val="009A1ABE"/>
    <w:rsid w:val="009F2456"/>
    <w:rsid w:val="00A35CE0"/>
    <w:rsid w:val="00A44AA4"/>
    <w:rsid w:val="00A61623"/>
    <w:rsid w:val="00A84687"/>
    <w:rsid w:val="00AD3B6E"/>
    <w:rsid w:val="00B56722"/>
    <w:rsid w:val="00C3774E"/>
    <w:rsid w:val="00C87FAB"/>
    <w:rsid w:val="00C91FF7"/>
    <w:rsid w:val="00C94E53"/>
    <w:rsid w:val="00DB35AF"/>
    <w:rsid w:val="00DF5B88"/>
    <w:rsid w:val="00E2595E"/>
    <w:rsid w:val="00E35374"/>
    <w:rsid w:val="00E50C19"/>
    <w:rsid w:val="00E856C9"/>
    <w:rsid w:val="00EB6A8B"/>
    <w:rsid w:val="00EF38C6"/>
    <w:rsid w:val="00FE3DC8"/>
    <w:rsid w:val="07700B3C"/>
    <w:rsid w:val="131937DF"/>
    <w:rsid w:val="16F52D50"/>
    <w:rsid w:val="18241A0E"/>
    <w:rsid w:val="1A183B0C"/>
    <w:rsid w:val="1C6C4144"/>
    <w:rsid w:val="1F884D0C"/>
    <w:rsid w:val="26F83397"/>
    <w:rsid w:val="2CB25DE8"/>
    <w:rsid w:val="30750033"/>
    <w:rsid w:val="30BA548D"/>
    <w:rsid w:val="37F82ECF"/>
    <w:rsid w:val="3E607931"/>
    <w:rsid w:val="3F315902"/>
    <w:rsid w:val="40614A17"/>
    <w:rsid w:val="42E6740A"/>
    <w:rsid w:val="48530BA8"/>
    <w:rsid w:val="486A7974"/>
    <w:rsid w:val="4D4D6F7F"/>
    <w:rsid w:val="4D8E137F"/>
    <w:rsid w:val="4EE5657D"/>
    <w:rsid w:val="50792456"/>
    <w:rsid w:val="52094D9C"/>
    <w:rsid w:val="55661E44"/>
    <w:rsid w:val="58A448DF"/>
    <w:rsid w:val="591131FD"/>
    <w:rsid w:val="596D7878"/>
    <w:rsid w:val="5BEF47D8"/>
    <w:rsid w:val="5F7F4523"/>
    <w:rsid w:val="5FC55B9F"/>
    <w:rsid w:val="615B7124"/>
    <w:rsid w:val="63132653"/>
    <w:rsid w:val="6322024B"/>
    <w:rsid w:val="652F6AA9"/>
    <w:rsid w:val="654348CD"/>
    <w:rsid w:val="6BC932B6"/>
    <w:rsid w:val="6C6D0146"/>
    <w:rsid w:val="6CDC2D90"/>
    <w:rsid w:val="6DED0805"/>
    <w:rsid w:val="705741E2"/>
    <w:rsid w:val="78E464E9"/>
    <w:rsid w:val="7A803CC2"/>
    <w:rsid w:val="7B2E68CC"/>
    <w:rsid w:val="7D997FC8"/>
    <w:rsid w:val="7E072CA1"/>
    <w:rsid w:val="7EED2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9"/>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6">
    <w:name w:val="Balloon Text"/>
    <w:basedOn w:val="1"/>
    <w:link w:val="18"/>
    <w:unhideWhenUsed/>
    <w:qFormat/>
    <w:uiPriority w:val="99"/>
    <w:rPr>
      <w:sz w:val="18"/>
      <w:szCs w:val="18"/>
    </w:rPr>
  </w:style>
  <w:style w:type="paragraph" w:styleId="7">
    <w:name w:val="footer"/>
    <w:basedOn w:val="1"/>
    <w:link w:val="15"/>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Subtitle"/>
    <w:basedOn w:val="1"/>
    <w:next w:val="1"/>
    <w:link w:val="20"/>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14:textFill>
        <w14:solidFill>
          <w14:schemeClr w14:val="accent1"/>
        </w14:solidFill>
      </w14:textFill>
    </w:rPr>
  </w:style>
  <w:style w:type="paragraph" w:styleId="10">
    <w:name w:val="Title"/>
    <w:basedOn w:val="1"/>
    <w:next w:val="1"/>
    <w:link w:val="19"/>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B2C24" w:themeColor="text2" w:themeShade="BF"/>
      <w:spacing w:val="5"/>
      <w:kern w:val="28"/>
      <w:sz w:val="52"/>
      <w:szCs w:val="52"/>
    </w:rPr>
  </w:style>
  <w:style w:type="table" w:styleId="12">
    <w:name w:val="Table Grid"/>
    <w:basedOn w:val="11"/>
    <w:qFormat/>
    <w:uiPriority w:val="1"/>
    <w:pPr>
      <w:spacing w:after="0" w:line="240" w:lineRule="auto"/>
    </w:pPr>
    <w:rPr>
      <w:kern w:val="0"/>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4">
    <w:name w:val="页眉 Char"/>
    <w:basedOn w:val="13"/>
    <w:link w:val="8"/>
    <w:qFormat/>
    <w:uiPriority w:val="99"/>
    <w:rPr>
      <w:sz w:val="18"/>
      <w:szCs w:val="18"/>
    </w:rPr>
  </w:style>
  <w:style w:type="character" w:customStyle="1" w:styleId="15">
    <w:name w:val="页脚 Char"/>
    <w:basedOn w:val="13"/>
    <w:link w:val="7"/>
    <w:qFormat/>
    <w:uiPriority w:val="99"/>
    <w:rPr>
      <w:sz w:val="18"/>
      <w:szCs w:val="18"/>
    </w:rPr>
  </w:style>
  <w:style w:type="paragraph" w:customStyle="1" w:styleId="16">
    <w:name w:val="No Spacing"/>
    <w:link w:val="17"/>
    <w:qFormat/>
    <w:uiPriority w:val="1"/>
    <w:pPr>
      <w:spacing w:after="160" w:line="480" w:lineRule="auto"/>
    </w:pPr>
    <w:rPr>
      <w:rFonts w:asciiTheme="minorHAnsi" w:hAnsiTheme="minorHAnsi" w:eastAsiaTheme="minorEastAsia" w:cstheme="minorBidi"/>
      <w:kern w:val="0"/>
      <w:sz w:val="22"/>
      <w:szCs w:val="22"/>
      <w:lang w:val="en-US" w:eastAsia="zh-CN" w:bidi="ar-SA"/>
    </w:rPr>
  </w:style>
  <w:style w:type="character" w:customStyle="1" w:styleId="17">
    <w:name w:val="无间隔 Char"/>
    <w:basedOn w:val="13"/>
    <w:link w:val="16"/>
    <w:qFormat/>
    <w:uiPriority w:val="1"/>
    <w:rPr>
      <w:kern w:val="0"/>
      <w:sz w:val="22"/>
    </w:rPr>
  </w:style>
  <w:style w:type="character" w:customStyle="1" w:styleId="18">
    <w:name w:val="批注框文本 Char"/>
    <w:basedOn w:val="13"/>
    <w:link w:val="6"/>
    <w:semiHidden/>
    <w:qFormat/>
    <w:uiPriority w:val="99"/>
    <w:rPr>
      <w:rFonts w:ascii="Times New Roman" w:hAnsi="Times New Roman" w:eastAsia="宋体" w:cs="Times New Roman"/>
      <w:sz w:val="18"/>
      <w:szCs w:val="18"/>
    </w:rPr>
  </w:style>
  <w:style w:type="character" w:customStyle="1" w:styleId="19">
    <w:name w:val="标题 Char"/>
    <w:basedOn w:val="13"/>
    <w:link w:val="10"/>
    <w:qFormat/>
    <w:uiPriority w:val="10"/>
    <w:rPr>
      <w:rFonts w:asciiTheme="majorHAnsi" w:hAnsiTheme="majorHAnsi" w:eastAsiaTheme="majorEastAsia" w:cstheme="majorBidi"/>
      <w:color w:val="3B2C24" w:themeColor="text2" w:themeShade="BF"/>
      <w:spacing w:val="5"/>
      <w:kern w:val="28"/>
      <w:sz w:val="52"/>
      <w:szCs w:val="52"/>
    </w:rPr>
  </w:style>
  <w:style w:type="character" w:customStyle="1" w:styleId="20">
    <w:name w:val="副标题 Char"/>
    <w:basedOn w:val="13"/>
    <w:link w:val="9"/>
    <w:qFormat/>
    <w:uiPriority w:val="11"/>
    <w:rPr>
      <w:rFonts w:asciiTheme="majorHAnsi" w:hAnsiTheme="majorHAnsi" w:eastAsiaTheme="majorEastAsia" w:cstheme="majorBidi"/>
      <w:i/>
      <w:iCs/>
      <w:color w:val="F0A22E" w:themeColor="accent1"/>
      <w:spacing w:val="15"/>
      <w:kern w:val="0"/>
      <w:sz w:val="24"/>
      <w:szCs w:val="24"/>
      <w14:textFill>
        <w14:solidFill>
          <w14:schemeClr w14:val="accent1"/>
        </w14:solidFill>
      </w14:textFill>
    </w:rPr>
  </w:style>
  <w:style w:type="character" w:customStyle="1" w:styleId="21">
    <w:name w:val="Style1"/>
    <w:basedOn w:val="13"/>
    <w:qFormat/>
    <w:uiPriority w:val="1"/>
    <w:rPr>
      <w:rFonts w:asciiTheme="minorHAnsi" w:hAnsiTheme="minorEastAsia" w:eastAsiaTheme="minorEastAsia" w:cstheme="minorBidi"/>
      <w:sz w:val="22"/>
      <w:szCs w:val="22"/>
      <w:lang w:eastAsia="zh-CN"/>
    </w:rPr>
  </w:style>
  <w:style w:type="character" w:customStyle="1" w:styleId="22">
    <w:name w:val="Style2"/>
    <w:basedOn w:val="13"/>
    <w:qFormat/>
    <w:uiPriority w:val="1"/>
    <w:rPr>
      <w:rFonts w:asciiTheme="minorHAnsi" w:hAnsiTheme="minorEastAsia" w:eastAsiaTheme="minorEastAsia" w:cstheme="minorBidi"/>
      <w:sz w:val="22"/>
      <w:szCs w:val="22"/>
      <w:lang w:eastAsia="zh-CN"/>
    </w:rPr>
  </w:style>
  <w:style w:type="character" w:customStyle="1" w:styleId="23">
    <w:name w:val="Style3"/>
    <w:basedOn w:val="13"/>
    <w:qFormat/>
    <w:uiPriority w:val="1"/>
    <w:rPr>
      <w:rFonts w:asciiTheme="minorHAnsi" w:hAnsiTheme="minorEastAsia" w:eastAsiaTheme="minorEastAsia" w:cstheme="minorBidi"/>
      <w:szCs w:val="22"/>
      <w:lang w:eastAsia="zh-CN"/>
    </w:rPr>
  </w:style>
  <w:style w:type="character" w:customStyle="1" w:styleId="24">
    <w:name w:val="Style4"/>
    <w:basedOn w:val="13"/>
    <w:qFormat/>
    <w:uiPriority w:val="1"/>
    <w:rPr>
      <w:rFonts w:asciiTheme="minorHAnsi" w:hAnsiTheme="minorEastAsia" w:eastAsiaTheme="minorEastAsia" w:cstheme="minorBidi"/>
      <w:szCs w:val="22"/>
      <w:lang w:eastAsia="zh-CN"/>
    </w:rPr>
  </w:style>
  <w:style w:type="character" w:customStyle="1" w:styleId="25">
    <w:name w:val="Style5"/>
    <w:basedOn w:val="13"/>
    <w:qFormat/>
    <w:uiPriority w:val="1"/>
    <w:rPr>
      <w:rFonts w:asciiTheme="minorHAnsi" w:hAnsiTheme="minorEastAsia" w:eastAsiaTheme="minorEastAsia" w:cstheme="minorBidi"/>
      <w:sz w:val="22"/>
      <w:szCs w:val="22"/>
      <w:lang w:eastAsia="zh-CN"/>
    </w:rPr>
  </w:style>
  <w:style w:type="character" w:customStyle="1" w:styleId="26">
    <w:name w:val="标题 1 Char"/>
    <w:basedOn w:val="13"/>
    <w:link w:val="2"/>
    <w:qFormat/>
    <w:uiPriority w:val="9"/>
    <w:rPr>
      <w:rFonts w:ascii="Times New Roman" w:hAnsi="Times New Roman" w:eastAsia="宋体" w:cs="Times New Roman"/>
      <w:b/>
      <w:bCs/>
      <w:kern w:val="44"/>
      <w:sz w:val="44"/>
      <w:szCs w:val="44"/>
    </w:rPr>
  </w:style>
  <w:style w:type="character" w:customStyle="1" w:styleId="27">
    <w:name w:val="标题 2 Char"/>
    <w:basedOn w:val="13"/>
    <w:link w:val="3"/>
    <w:qFormat/>
    <w:uiPriority w:val="9"/>
    <w:rPr>
      <w:rFonts w:asciiTheme="majorHAnsi" w:hAnsiTheme="majorHAnsi" w:eastAsiaTheme="majorEastAsia" w:cstheme="majorBidi"/>
      <w:b/>
      <w:bCs/>
      <w:sz w:val="32"/>
      <w:szCs w:val="32"/>
    </w:rPr>
  </w:style>
  <w:style w:type="character" w:customStyle="1" w:styleId="28">
    <w:name w:val="标题 3 Char"/>
    <w:basedOn w:val="13"/>
    <w:link w:val="4"/>
    <w:qFormat/>
    <w:uiPriority w:val="9"/>
    <w:rPr>
      <w:rFonts w:ascii="Times New Roman" w:hAnsi="Times New Roman" w:eastAsia="宋体" w:cs="Times New Roman"/>
      <w:b/>
      <w:bCs/>
      <w:sz w:val="32"/>
      <w:szCs w:val="32"/>
    </w:rPr>
  </w:style>
  <w:style w:type="character" w:customStyle="1" w:styleId="29">
    <w:name w:val="标题 4 Char"/>
    <w:basedOn w:val="13"/>
    <w:link w:val="5"/>
    <w:uiPriority w:val="9"/>
    <w:rPr>
      <w:rFonts w:asciiTheme="majorHAnsi" w:hAnsiTheme="majorHAnsi" w:eastAsiaTheme="majorEastAsia" w:cstheme="majorBidi"/>
      <w:b/>
      <w:bCs/>
      <w:sz w:val="28"/>
      <w:szCs w:val="28"/>
    </w:rPr>
  </w:style>
  <w:style w:type="paragraph" w:customStyle="1" w:styleId="30">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31">
    <w:name w:val="t21"/>
    <w:basedOn w:val="13"/>
    <w:qFormat/>
    <w:uiPriority w:val="0"/>
    <w:rPr>
      <w:rFonts w:hint="eastAsia" w:ascii="宋体" w:hAnsi="宋体" w:eastAsia="宋体"/>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收入决算</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财政拨款</c:v>
                </c:pt>
              </c:strCache>
            </c:strRef>
          </c:cat>
          <c:val>
            <c:numRef>
              <c:f>Sheet1!$B$2:$B$5</c:f>
              <c:numCache>
                <c:formatCode>0%</c:formatCode>
                <c:ptCount val="4"/>
                <c:pt idx="0">
                  <c:v>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c:v>
                </c:pt>
              </c:strCache>
            </c:strRef>
          </c:tx>
          <c:spPr/>
          <c:explosion val="0"/>
          <c:dPt>
            <c:idx val="0"/>
            <c:bubble3D val="0"/>
            <c:spPr>
              <a:solidFill>
                <a:schemeClr val="accent1">
                  <a:tint val="100000"/>
                  <a:shade val="100000"/>
                  <a:hueMod val="100000"/>
                  <a:satMod val="100000"/>
                </a:schemeClr>
              </a:solidFill>
              <a:ln w="19050">
                <a:solidFill>
                  <a:schemeClr val="lt1"/>
                </a:solidFill>
              </a:ln>
              <a:effectLst/>
            </c:spPr>
          </c:dPt>
          <c:dPt>
            <c:idx val="1"/>
            <c:bubble3D val="0"/>
            <c:spPr>
              <a:solidFill>
                <a:schemeClr val="accent2">
                  <a:tint val="100000"/>
                  <a:shade val="100000"/>
                  <a:hueMod val="100000"/>
                  <a:satMod val="100000"/>
                </a:schemeClr>
              </a:solidFill>
              <a:ln w="19050">
                <a:solidFill>
                  <a:schemeClr val="lt1"/>
                </a:solidFill>
              </a:ln>
              <a:effectLst/>
            </c:spPr>
          </c:dPt>
          <c:dPt>
            <c:idx val="2"/>
            <c:bubble3D val="0"/>
            <c:spPr>
              <a:solidFill>
                <a:schemeClr val="accent3">
                  <a:tint val="100000"/>
                  <a:shade val="100000"/>
                  <a:hueMod val="100000"/>
                  <a:satMod val="100000"/>
                </a:schemeClr>
              </a:solidFill>
              <a:ln w="19050">
                <a:solidFill>
                  <a:schemeClr val="lt1"/>
                </a:solidFill>
              </a:ln>
              <a:effectLst/>
            </c:spPr>
          </c:dPt>
          <c:dPt>
            <c:idx val="3"/>
            <c:bubble3D val="0"/>
            <c:spPr>
              <a:solidFill>
                <a:schemeClr val="accent4">
                  <a:tint val="100000"/>
                  <a:shade val="100000"/>
                  <a:hueMod val="100000"/>
                  <a:satMod val="10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基本支出</c:v>
                </c:pt>
                <c:pt idx="1">
                  <c:v>项目支出</c:v>
                </c:pt>
              </c:strCache>
            </c:strRef>
          </c:cat>
          <c:val>
            <c:numRef>
              <c:f>Sheet1!$B$2:$B$5</c:f>
              <c:numCache>
                <c:formatCode>0.00%</c:formatCode>
                <c:ptCount val="4"/>
                <c:pt idx="0">
                  <c:v>0.9111</c:v>
                </c:pt>
                <c:pt idx="1">
                  <c:v>0.0889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7F8D78-4C9B-4DB6-B8D7-8EAC9BC94786}">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820</Words>
  <Characters>4675</Characters>
  <Lines>38</Lines>
  <Paragraphs>10</Paragraphs>
  <TotalTime>7</TotalTime>
  <ScaleCrop>false</ScaleCrop>
  <LinksUpToDate>false</LinksUpToDate>
  <CharactersWithSpaces>5485</CharactersWithSpaces>
  <Application>WPS Office_11.1.0.8370_F1E327BC-269C-435d-A152-05C5408002CA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2018-08-29T08:38:00Z</dcterms:created>
  <dc:creator>User</dc:creator>
  <cp:lastModifiedBy>向日葵</cp:lastModifiedBy>
  <dcterms:modified xsi:type="dcterms:W3CDTF">2019-01-21T08:23:39Z</dcterms:modified>
  <dc:subject>石家庄市xxx部门</dc:subject>
  <dc:title>2017年度部门决算</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