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outlineLvl w:val="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pStyle w:val="2"/>
        <w:rPr>
          <w:rFonts w:hint="eastAsia"/>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rPr>
          <w:rFonts w:hint="eastAsia" w:ascii="华文中宋" w:hAnsi="华文中宋" w:eastAsia="华文中宋" w:cs="华文中宋"/>
          <w:b/>
          <w:bCs/>
          <w:kern w:val="2"/>
          <w:sz w:val="44"/>
          <w:szCs w:val="24"/>
          <w:lang w:val="en-US" w:eastAsia="zh-CN" w:bidi="ar-SA"/>
        </w:rPr>
      </w:pPr>
      <w:r>
        <w:rPr>
          <w:rFonts w:hint="eastAsia" w:ascii="华文中宋" w:hAnsi="华文中宋" w:eastAsia="华文中宋" w:cs="华文中宋"/>
          <w:b/>
          <w:bCs/>
          <w:kern w:val="2"/>
          <w:sz w:val="44"/>
          <w:szCs w:val="24"/>
          <w:lang w:val="en-US" w:eastAsia="zh-CN" w:bidi="ar-SA"/>
        </w:rPr>
        <w:t>2024年度机构编制研究课题指南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1.优化完善党政机构职能体系研究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研究重点：在完成本轮机构改革基础上，进一步总结改革成果启示，分层级、分领域、分部门从领导体制、管理体制、职能配置、机构设置、运行机制等方面进行系统分析研究。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Style w:val="6"/>
          <w:rFonts w:hint="eastAsia" w:ascii="黑体" w:hAnsi="黑体" w:eastAsia="黑体" w:cs="黑体"/>
          <w:strike w:val="0"/>
          <w:dstrike w:val="0"/>
          <w:sz w:val="32"/>
          <w:szCs w:val="32"/>
          <w:lang w:val="en-US" w:eastAsia="zh-CN" w:bidi="ar"/>
        </w:rPr>
        <w:t>2.</w:t>
      </w:r>
      <w:r>
        <w:rPr>
          <w:rFonts w:hint="eastAsia" w:ascii="黑体" w:hAnsi="黑体" w:eastAsia="黑体" w:cs="黑体"/>
          <w:i w:val="0"/>
          <w:iCs w:val="0"/>
          <w:color w:val="000000"/>
          <w:kern w:val="0"/>
          <w:sz w:val="32"/>
          <w:szCs w:val="32"/>
          <w:u w:val="none"/>
          <w:lang w:val="en-US" w:eastAsia="zh-CN" w:bidi="ar"/>
        </w:rPr>
        <w:t>议事协调机构的分类与管理研究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研究重点：对议事协调机构进行科学分类，从职能作用、设置逻辑、管理体制、运行规则、制度建设等方面进行研究。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3.机构编制评估的理论与实践研究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研究重点：按照事前、事中、事后评估的分类，分别从框架体系、基本要素、指标体系、方法路径等方面进行研究，或针对机构编制申请事项、执行情况和使用效益等进行案例分析评估。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auto"/>
          <w:kern w:val="0"/>
          <w:sz w:val="32"/>
          <w:szCs w:val="32"/>
          <w:u w:val="none"/>
          <w:lang w:val="en-US" w:eastAsia="zh-CN" w:bidi="ar"/>
        </w:rPr>
      </w:pPr>
      <w:r>
        <w:rPr>
          <w:rFonts w:hint="eastAsia" w:ascii="黑体" w:hAnsi="黑体" w:eastAsia="黑体" w:cs="黑体"/>
          <w:i w:val="0"/>
          <w:iCs w:val="0"/>
          <w:color w:val="auto"/>
          <w:kern w:val="0"/>
          <w:sz w:val="32"/>
          <w:szCs w:val="32"/>
          <w:u w:val="none"/>
          <w:lang w:val="en-US" w:eastAsia="zh-CN" w:bidi="ar"/>
        </w:rPr>
        <w:t>4.雄安新区向城市管理体制转变的实践与探索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立足雄安新区已进入大规模建设与承接北京非首都功能疏解并重阶段，工作重心已转向高质量建设、高水平管理、高质量疏解发展并举的实际，总结实践成果，借鉴发达地区经验，从管理体制、组织架构、职能体系、政策保障等方面进行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5.高质量发展背景下体制机制和机构编制管理制度创新研究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研究重点：围绕机构编制部门职能职责，分别从服务保障科技、教育、人才工作等方面进行研究，提出具有创新性的政策建议。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6.开发区行政管理体制改革路径研究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分类型、分发展阶段，对开发区行使行政执法的权限范围、管理体制、权责关系、运行机制等进行研究。或从开发区向“区政合一”模式转型需具备的条件、开发区与行政区整合设置机构的方式等方面进行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7.全面深化事业单位改革研究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分层级、分类型从事业单位职能定位、布局结构、资源配备、政事边界等方面进行系统分析，就公益事业高质量发展提出对策建议。或以改革试点地区为蓝本，从破解改革重难点问题、事业单位优化整合运行情况、建立动态管理体制机制、加强事业单位法人监督管理等方面进行分析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8.基层治理现代化背景下基层管理体制机制问题研究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围绕有效解决基层治理“小马拉大车”、完善城乡基层应急管理组织体系、探索完善农村社区治理体制机制和推动资源、服务、管理向基层下沉的难点堵点等问题，从体制改革、权责关系、机构设置、编制保障等方面进行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9.加强重点民生领域机构编制保障研究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研究重点：分别从基础教育、普惠托幼、医疗健康、养老服务、恤孤助残等领域，分析问题短板和现实需要，研究提出中长期保障策略。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10.</w:t>
      </w:r>
      <w:r>
        <w:rPr>
          <w:rFonts w:hint="default" w:ascii="黑体" w:hAnsi="黑体" w:eastAsia="黑体" w:cs="黑体"/>
          <w:i w:val="0"/>
          <w:iCs w:val="0"/>
          <w:color w:val="000000"/>
          <w:kern w:val="0"/>
          <w:sz w:val="32"/>
          <w:szCs w:val="32"/>
          <w:u w:val="none"/>
          <w:lang w:val="en-US" w:eastAsia="zh-CN" w:bidi="ar"/>
        </w:rPr>
        <w:t>新形势下机构编制的功能定位及保障理论研究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研究重点：从机构编制的功能定位、保障范围、投放重点、管理方式等方面进行研究。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11.机构编制资源配置方式比较研究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研究重点：分析机构编制资源配置中存在的矛盾问题，对外埠经验和本地做法进行比较研究，提出优化机构编制资源配置的对策建议。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12.“三定”规定的演变发展研究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研究重点：结合本轮机构改革，从历史和现实角度，分析研究“三定”规定制定工作的历史经验和规律认识，就维护“三定”规定的权威性和严肃性提出意见建议。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13.健全机构编制闭环管理体系研究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研究重点：从推动机构编制审批、备案、实施与监督、检查、评估有效衔接的角度进行研究。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14.数字时代机构编制工作面临的机遇与挑战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研究重点：分别从数字时代的部门职责配置、编制资源配备以及机构编制数字化建设等方面进行研究。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15.其他需要研究的问题</w:t>
      </w:r>
    </w:p>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textAlignment w:val="auto"/>
        <w:rPr>
          <w:rFonts w:hint="default" w:ascii="仿宋_GB2312" w:hAnsi="仿宋_GB2312" w:eastAsia="仿宋_GB2312"/>
          <w:sz w:val="32"/>
          <w:lang w:val="en-US" w:eastAsia="zh-CN"/>
        </w:rPr>
      </w:pPr>
    </w:p>
    <w:p>
      <w:pPr>
        <w:pStyle w:val="7"/>
        <w:rPr>
          <w:rFonts w:hint="default"/>
          <w:lang w:val="en-US" w:eastAsia="zh-CN"/>
        </w:rPr>
      </w:pPr>
    </w:p>
    <w:p>
      <w:bookmarkStart w:id="0" w:name="_GoBack"/>
      <w:bookmarkEnd w:id="0"/>
    </w:p>
    <w:sectPr>
      <w:footerReference r:id="rId3" w:type="default"/>
      <w:pgSz w:w="11906" w:h="16838"/>
      <w:pgMar w:top="1814"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YTNiMDgwNjM3Y2ZlMGU5YmUxZTBkOGNhYjc0MDgifQ=="/>
  </w:docVars>
  <w:rsids>
    <w:rsidRoot w:val="6B376FF6"/>
    <w:rsid w:val="6B37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character" w:customStyle="1" w:styleId="6">
    <w:name w:val="font21"/>
    <w:basedOn w:val="5"/>
    <w:qFormat/>
    <w:uiPriority w:val="0"/>
    <w:rPr>
      <w:rFonts w:hint="eastAsia" w:ascii="仿宋_GB2312" w:eastAsia="仿宋_GB2312" w:cs="仿宋_GB2312"/>
      <w:color w:val="000000"/>
      <w:sz w:val="20"/>
      <w:szCs w:val="20"/>
      <w:u w:val="none"/>
    </w:rPr>
  </w:style>
  <w:style w:type="paragraph" w:customStyle="1" w:styleId="7">
    <w:name w:val="Plain Text1"/>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2024-04-08T08:06:00Z</dcterms:created>
  <dc:creator>Galuny-I</dc:creator>
  <cp:lastModifiedBy>Galuny-I</cp:lastModifiedBy>
  <dcterms:modified xsi:type="dcterms:W3CDTF">2024-04-08T08:06:56Z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20F2058CE30A4AD3990EE6B2225E6F81_11</vt:lpwstr>
  </property>
</Properties>
</file>