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Times New Roman" w:eastAsia="方正小标宋_GBK" w:cs="Times New Roman" w:hAnsi="Times New Roman"/>
          <w:sz w:val="44"/>
          <w:szCs w:val="44"/>
        </w:rPr>
      </w:pPr>
      <w:r>
        <w:rPr>
          <w:rFonts w:ascii="Times New Roman" w:eastAsia="宋体" w:cs="Times New Roman" w:hAnsi="Times New Roman" w:hint="eastAsia"/>
          <w:sz w:val="44"/>
          <w:szCs w:val="44"/>
          <w:lang w:eastAsia="zh-CN"/>
        </w:rPr>
        <w:t>中共</w:t>
      </w:r>
      <w:r>
        <w:rPr>
          <w:rFonts w:ascii="Times New Roman" w:eastAsia="宋体" w:cs="Times New Roman" w:hAnsi="Times New Roman" w:hint="eastAsia"/>
          <w:sz w:val="44"/>
          <w:szCs w:val="44"/>
        </w:rPr>
        <w:t>深泽县</w:t>
      </w:r>
      <w:r>
        <w:rPr>
          <w:rFonts w:ascii="Times New Roman" w:eastAsia="宋体" w:cs="Times New Roman" w:hAnsi="Times New Roman" w:hint="eastAsia"/>
          <w:sz w:val="44"/>
          <w:szCs w:val="44"/>
          <w:lang w:eastAsia="zh-CN"/>
        </w:rPr>
        <w:t>委</w:t>
      </w:r>
      <w:r>
        <w:rPr>
          <w:rFonts w:ascii="Times New Roman" w:eastAsia="宋体" w:cs="Times New Roman" w:hAnsi="Times New Roman" w:hint="eastAsia"/>
          <w:sz w:val="44"/>
          <w:szCs w:val="44"/>
        </w:rPr>
        <w:t>机构编制委员会</w:t>
      </w:r>
      <w:r>
        <w:rPr>
          <w:rFonts w:ascii="Times New Roman" w:eastAsia="方正小标宋_GBK" w:cs="Times New Roman" w:hAnsi="Times New Roman" w:hint="eastAsia"/>
          <w:sz w:val="44"/>
          <w:szCs w:val="44"/>
        </w:rPr>
        <w:t>办公室</w:t>
      </w:r>
      <w:r>
        <w:rPr>
          <w:rFonts w:ascii="Times New Roman" w:eastAsia="方正小标宋_GBK" w:cs="Times New Roman" w:hAnsi="Times New Roman" w:hint="eastAsia"/>
          <w:sz w:val="44"/>
          <w:szCs w:val="44"/>
          <w:lang w:val="en-US" w:eastAsia="zh-CN"/>
        </w:rPr>
        <w:t>2019</w:t>
      </w:r>
      <w:r>
        <w:rPr>
          <w:rFonts w:ascii="Times New Roman" w:eastAsia="方正小标宋_GBK" w:cs="Times New Roman" w:hAnsi="Times New Roman"/>
          <w:sz w:val="44"/>
          <w:szCs w:val="44"/>
        </w:rPr>
        <w:t>年部门预算信息公开</w:t>
      </w:r>
    </w:p>
    <w:p>
      <w:pPr>
        <w:ind w:firstLineChars="200" w:firstLine="640"/>
        <w:rPr>
          <w:rFonts w:ascii="仿宋" w:eastAsia="仿宋" w:cs="Times New Roman" w:hAnsi="仿宋"/>
          <w:sz w:val="32"/>
          <w:szCs w:val="32"/>
        </w:rPr>
      </w:pPr>
      <w:r>
        <w:rPr>
          <w:rFonts w:ascii="仿宋" w:eastAsia="仿宋" w:cs="Times New Roman" w:hAnsi="仿宋"/>
          <w:sz w:val="32"/>
          <w:szCs w:val="32"/>
        </w:rPr>
        <w:t>按照</w:t>
      </w:r>
      <w:r>
        <w:rPr>
          <w:rFonts w:ascii="仿宋" w:eastAsia="仿宋" w:cs="Times New Roman" w:hAnsi="仿宋" w:hint="eastAsia"/>
          <w:sz w:val="32"/>
          <w:szCs w:val="32"/>
        </w:rPr>
        <w:t>《</w:t>
      </w:r>
      <w:r>
        <w:rPr>
          <w:rFonts w:ascii="仿宋" w:eastAsia="仿宋" w:cs="Times New Roman" w:hAnsi="仿宋"/>
          <w:sz w:val="32"/>
          <w:szCs w:val="32"/>
        </w:rPr>
        <w:t>中华人民共和国</w:t>
      </w:r>
      <w:r>
        <w:rPr>
          <w:rFonts w:ascii="仿宋" w:eastAsia="仿宋" w:cs="Times New Roman" w:hAnsi="仿宋" w:hint="eastAsia"/>
          <w:sz w:val="32"/>
          <w:szCs w:val="32"/>
        </w:rPr>
        <w:t>预算法》、</w:t>
      </w:r>
      <w:r>
        <w:rPr>
          <w:rFonts w:ascii="仿宋" w:eastAsia="仿宋" w:cs="Times New Roman" w:hAnsi="仿宋"/>
          <w:sz w:val="32"/>
          <w:szCs w:val="32"/>
        </w:rPr>
        <w:t>《地方预决算公开操作规程》和《</w:t>
      </w:r>
      <w:r>
        <w:rPr>
          <w:rFonts w:ascii="仿宋" w:eastAsia="仿宋" w:cs="Times New Roman" w:hAnsi="仿宋" w:hint="eastAsia"/>
          <w:sz w:val="32"/>
          <w:szCs w:val="32"/>
        </w:rPr>
        <w:t>市</w:t>
      </w:r>
      <w:r>
        <w:rPr>
          <w:rFonts w:ascii="仿宋" w:eastAsia="仿宋" w:cs="Times New Roman" w:hAnsi="仿宋"/>
          <w:sz w:val="32"/>
          <w:szCs w:val="32"/>
        </w:rPr>
        <w:t>级预算公开办法》</w:t>
      </w:r>
      <w:r>
        <w:rPr>
          <w:rFonts w:ascii="仿宋" w:eastAsia="仿宋" w:cs="Times New Roman" w:hAnsi="仿宋" w:hint="eastAsia"/>
          <w:sz w:val="32"/>
          <w:szCs w:val="32"/>
        </w:rPr>
        <w:t>规定</w:t>
      </w:r>
      <w:r>
        <w:rPr>
          <w:rFonts w:ascii="仿宋" w:eastAsia="仿宋" w:cs="Times New Roman" w:hAnsi="仿宋"/>
          <w:sz w:val="32"/>
          <w:szCs w:val="32"/>
        </w:rPr>
        <w:t>，现将</w:t>
      </w:r>
      <w:r>
        <w:rPr>
          <w:rFonts w:ascii="仿宋" w:eastAsia="仿宋" w:cs="Times New Roman" w:hAnsi="仿宋" w:hint="eastAsia"/>
          <w:sz w:val="32"/>
          <w:szCs w:val="32"/>
          <w:lang w:val="en-US" w:eastAsia="zh-CN"/>
        </w:rPr>
        <w:t>2019</w:t>
      </w:r>
      <w:r>
        <w:rPr>
          <w:rFonts w:ascii="仿宋" w:eastAsia="仿宋" w:cs="Times New Roman" w:hAnsi="仿宋"/>
          <w:sz w:val="32"/>
          <w:szCs w:val="32"/>
        </w:rPr>
        <w:t>年部门预算公开如下：</w:t>
      </w:r>
    </w:p>
    <w:p>
      <w:pPr>
        <w:ind w:firstLine="640"/>
        <w:rPr>
          <w:rFonts w:ascii="黑体" w:eastAsia="黑体" w:cs="Times New Roman" w:hAnsi="黑体"/>
          <w:sz w:val="32"/>
          <w:szCs w:val="32"/>
        </w:rPr>
      </w:pPr>
      <w:r>
        <w:rPr>
          <w:rFonts w:ascii="黑体" w:eastAsia="黑体" w:cs="Times New Roman" w:hAnsi="黑体" w:hint="eastAsia"/>
          <w:sz w:val="32"/>
          <w:szCs w:val="32"/>
        </w:rPr>
        <w:t>一、部门职责及机构设置情况</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196" w:firstLine="627"/>
        <w:textAlignment w:val="auto"/>
        <w:outlineLvl w:val="9"/>
        <w:rPr>
          <w:rFonts w:ascii="仿宋" w:eastAsia="仿宋" w:cs="仿宋" w:hAnsi="仿宋" w:hint="eastAsia"/>
          <w:sz w:val="32"/>
          <w:szCs w:val="32"/>
        </w:rPr>
      </w:pPr>
      <w:r>
        <w:rPr>
          <w:rFonts w:ascii="Times New Roman" w:eastAsia="方正仿宋_GBK" w:cs="Times New Roman" w:hAnsi="Times New Roman" w:hint="eastAsia"/>
          <w:b/>
          <w:sz w:val="32"/>
          <w:szCs w:val="32"/>
        </w:rPr>
        <w:t>部门</w:t>
      </w:r>
      <w:r>
        <w:rPr>
          <w:rFonts w:ascii="Times New Roman" w:eastAsia="方正仿宋_GBK" w:cs="Times New Roman" w:hAnsi="Times New Roman"/>
          <w:b/>
          <w:sz w:val="32"/>
          <w:szCs w:val="32"/>
        </w:rPr>
        <w:t>职责</w:t>
      </w:r>
      <w:r>
        <w:rPr>
          <w:rFonts w:ascii="Times New Roman" w:eastAsia="方正仿宋_GBK" w:cs="Times New Roman" w:hAnsi="Times New Roman" w:hint="eastAsia"/>
          <w:b/>
          <w:sz w:val="32"/>
          <w:szCs w:val="32"/>
          <w:lang w:eastAsia="zh-CN"/>
        </w:rPr>
        <w:t>：</w:t>
      </w:r>
      <w:r>
        <w:rPr>
          <w:rFonts w:ascii="仿宋" w:eastAsia="仿宋" w:cs="仿宋" w:hAnsi="仿宋" w:hint="eastAsia"/>
          <w:sz w:val="32"/>
          <w:szCs w:val="32"/>
        </w:rPr>
        <w:t>中共深泽县委机构编制委员会办公室（简称县委编办）为县委机构编制委员会的办事机构，承担县委机构编制委员会日常工作，作为县委工作机关，机构规格正科级，归口县委组织部管理。</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196" w:firstLine="627"/>
        <w:textAlignment w:val="auto"/>
        <w:outlineLvl w:val="9"/>
        <w:rPr>
          <w:rFonts w:ascii="仿宋" w:eastAsia="仿宋" w:cs="仿宋" w:hAnsi="仿宋" w:hint="eastAsia"/>
          <w:sz w:val="32"/>
          <w:szCs w:val="32"/>
        </w:rPr>
      </w:pPr>
      <w:r>
        <w:rPr>
          <w:rFonts w:ascii="仿宋" w:eastAsia="仿宋" w:cs="仿宋" w:hAnsi="仿宋" w:hint="eastAsia"/>
          <w:sz w:val="32"/>
          <w:szCs w:val="32"/>
        </w:rPr>
        <w:t>县委编办的主要职责是：</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（一）贯彻落实党中央和省市委关于行政管理体制和机构改革以及机构编制管理的政策法规，</w:t>
      </w:r>
      <w:r>
        <w:rPr>
          <w:rFonts w:ascii="仿宋" w:eastAsia="仿宋" w:cs="仿宋" w:hAnsi="仿宋" w:hint="eastAsia"/>
          <w:color w:val="auto"/>
          <w:sz w:val="32"/>
          <w:szCs w:val="32"/>
          <w:lang w:eastAsia="zh-CN"/>
        </w:rPr>
        <w:t>拟订</w:t>
      </w:r>
      <w:r>
        <w:rPr>
          <w:rFonts w:ascii="仿宋" w:eastAsia="仿宋" w:cs="仿宋" w:hAnsi="仿宋" w:hint="eastAsia"/>
          <w:color w:val="auto"/>
          <w:sz w:val="32"/>
          <w:szCs w:val="32"/>
        </w:rPr>
        <w:t>相关</w:t>
      </w:r>
      <w:r>
        <w:rPr>
          <w:rFonts w:ascii="仿宋" w:eastAsia="仿宋" w:cs="仿宋" w:hAnsi="仿宋" w:hint="eastAsia"/>
          <w:color w:val="auto"/>
          <w:sz w:val="32"/>
          <w:szCs w:val="32"/>
          <w:lang w:eastAsia="zh-CN"/>
        </w:rPr>
        <w:t>制度</w:t>
      </w:r>
      <w:r>
        <w:rPr>
          <w:rFonts w:ascii="仿宋" w:eastAsia="仿宋" w:cs="仿宋" w:hAnsi="仿宋" w:hint="eastAsia"/>
          <w:color w:val="auto"/>
          <w:sz w:val="32"/>
          <w:szCs w:val="32"/>
        </w:rPr>
        <w:t>、</w:t>
      </w:r>
      <w:r>
        <w:rPr>
          <w:rFonts w:ascii="仿宋" w:eastAsia="仿宋" w:cs="仿宋" w:hAnsi="仿宋" w:hint="eastAsia"/>
          <w:color w:val="auto"/>
          <w:sz w:val="32"/>
          <w:szCs w:val="32"/>
          <w:lang w:eastAsia="zh-CN"/>
        </w:rPr>
        <w:t>措施</w:t>
      </w:r>
      <w:r>
        <w:rPr>
          <w:rFonts w:ascii="仿宋" w:eastAsia="仿宋" w:cs="仿宋" w:hAnsi="仿宋" w:hint="eastAsia"/>
          <w:color w:val="auto"/>
          <w:sz w:val="32"/>
          <w:szCs w:val="32"/>
        </w:rPr>
        <w:t>等规范性文件并监督实施。</w:t>
      </w:r>
      <w:r>
        <w:rPr>
          <w:rFonts w:ascii="仿宋" w:eastAsia="仿宋" w:cs="仿宋" w:hAnsi="仿宋" w:hint="eastAsia"/>
          <w:sz w:val="32"/>
          <w:szCs w:val="32"/>
        </w:rPr>
        <w:t>管理和指导县纪委监察机关及其派驻纪检监察组、县委各机关、县人大</w:t>
      </w:r>
      <w:r>
        <w:rPr>
          <w:rFonts w:ascii="仿宋" w:eastAsia="仿宋" w:cs="仿宋" w:hAnsi="仿宋"/>
          <w:sz w:val="32"/>
          <w:szCs w:val="32"/>
        </w:rPr>
        <w:t>常委会</w:t>
      </w:r>
      <w:bookmarkStart w:id="0" w:name="_GoBack"/>
      <w:bookmarkEnd w:id="0"/>
      <w:r>
        <w:rPr>
          <w:rFonts w:ascii="仿宋" w:eastAsia="仿宋" w:cs="仿宋" w:hAnsi="仿宋" w:hint="eastAsia"/>
          <w:sz w:val="32"/>
          <w:szCs w:val="32"/>
        </w:rPr>
        <w:t>机关、县政府各部门、县政协机关、人民团体县级机关（以下简称“党政群机关”），以及事业单位机构编制工作。组织开展行政管理体制改革、事业单位管理体制改革及机构编制工作基础性、创新性和前瞻性研究。</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（二）组织拟订全县行政管理体制改革和县委、县政府机构改革方案并组织实施。负责全县行政管理体制和机构改革以及机构编制管理工作；负责行政执法体制改革工作。</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三）按照规定权限，负责县级党政群机关以及部门派出机构的职能配置、机构设置、人员编制和领导职数管理工作；负责协调县委、县政府各部门职能配置及其调整，协调县委、县政府各部门之间以及行政部门和乡镇之间职责分工；负责需要承办的省以下垂直管理部门或双重管理部门（单位）机构编制有关工作。</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（四）组织拟订全县事业单位管理体制改革和机构改革方案。拟订各类事业单位人员编制管理</w:t>
      </w:r>
      <w:r>
        <w:rPr>
          <w:rFonts w:ascii="仿宋" w:eastAsia="仿宋" w:cs="仿宋" w:hAnsi="仿宋" w:hint="eastAsia"/>
          <w:sz w:val="32"/>
          <w:szCs w:val="32"/>
          <w:lang w:eastAsia="zh-CN"/>
        </w:rPr>
        <w:t>办法</w:t>
      </w:r>
      <w:r>
        <w:rPr>
          <w:rFonts w:ascii="仿宋" w:eastAsia="仿宋" w:cs="仿宋" w:hAnsi="仿宋" w:hint="eastAsia"/>
          <w:sz w:val="32"/>
          <w:szCs w:val="32"/>
        </w:rPr>
        <w:t>并组织实施。按照管理权限，负责县委、县政府直属事业单位和部门所属事业单位的职能配置、机构设置、人员编制和领导职数管理工作。</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五）指导各部门、乡镇的行政管理体制改革、事业单位管理体制改革和机构改革工作，审核机构改革方案。审核各部门、乡镇机构编制分类；负责全县党政群机关行政机构、事业单位和新设事业单位机构编制管理工作。</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（六）负责全县党政群机关统一社会信用代码管理工作，负责全县事业单位法人管理和监督检查工作。</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（七）负责全县开发区（园区）行政管理体制改革工作。组织拟订开发区（园区）机构编制管理</w:t>
      </w:r>
      <w:r>
        <w:rPr>
          <w:rFonts w:ascii="仿宋" w:eastAsia="仿宋" w:cs="仿宋" w:hAnsi="仿宋" w:hint="eastAsia"/>
          <w:sz w:val="32"/>
          <w:szCs w:val="32"/>
          <w:lang w:eastAsia="zh-CN"/>
        </w:rPr>
        <w:t>办法</w:t>
      </w:r>
      <w:r>
        <w:rPr>
          <w:rFonts w:ascii="仿宋" w:eastAsia="仿宋" w:cs="仿宋" w:hAnsi="仿宋" w:hint="eastAsia"/>
          <w:sz w:val="32"/>
          <w:szCs w:val="32"/>
        </w:rPr>
        <w:t>并组织实施；负责全县开发区（园区）职能配置、机构设置、人员编制和领导职数审核及上报工作。</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（八）负责全县机构编制的总量控制、动态管理。组织拟订县本级年度编制使用计划，审核县直及乡镇机关事业单位招录、招聘和政策性安置等</w:t>
      </w:r>
      <w:r>
        <w:rPr>
          <w:rFonts w:ascii="仿宋" w:eastAsia="仿宋" w:cs="仿宋" w:hAnsi="仿宋" w:hint="eastAsia"/>
          <w:color w:val="auto"/>
          <w:sz w:val="32"/>
          <w:szCs w:val="32"/>
          <w:lang w:eastAsia="zh-CN"/>
        </w:rPr>
        <w:t>用编</w:t>
      </w:r>
      <w:r>
        <w:rPr>
          <w:rFonts w:ascii="仿宋" w:eastAsia="仿宋" w:cs="仿宋" w:hAnsi="仿宋" w:hint="eastAsia"/>
          <w:sz w:val="32"/>
          <w:szCs w:val="32"/>
        </w:rPr>
        <w:t>计划；负责全县机关事业单位编制使用核准；负责机构编制实名制管理工作；建立健全机构编制部门与有关部门的协调配合约束机制。</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九）负责跟踪评估、监督检查全县各级行政、事业单位管理体制改革、机构改革及机构编制政策执行情况；负责受理违反机构编制法规、纪律的检举、控告和投诉，对违反机构编制法规、纪律问题进行调查处理。</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（十）负责全县机构编制电子政务和信息化工作。负责全县机构编制统计工作；负责机构编制网站的管理、使用和维护；负责党政群机关、事业单位和其他非营利性单位网上名称管理工作。</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（十一）完成县委、县政府和县委机构编制委员会交办的其他任务。</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（十二）有关职责分工。</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Chars="200" w:firstLine="640"/>
        <w:textAlignment w:val="auto"/>
        <w:outlineLvl w:val="9"/>
        <w:rPr>
          <w:rFonts w:ascii="仿宋" w:eastAsia="仿宋" w:cs="仿宋" w:hAnsi="仿宋" w:hint="eastAsia"/>
          <w:sz w:val="32"/>
          <w:szCs w:val="32"/>
        </w:rPr>
      </w:pPr>
      <w:r>
        <w:rPr>
          <w:rFonts w:ascii="仿宋" w:eastAsia="仿宋" w:cs="仿宋" w:hAnsi="仿宋" w:hint="eastAsia"/>
          <w:sz w:val="32"/>
          <w:szCs w:val="32"/>
        </w:rPr>
        <w:t>县委编办负责全县公益类事业单位管理体制改革工作。县发展和改革局负责生产经营类事业单位管理体制改革工作。</w:t>
      </w:r>
    </w:p>
    <w:p>
      <w:pPr>
        <w:autoSpaceDE w:val="0"/>
        <w:autoSpaceDN w:val="0"/>
        <w:adjustRightInd w:val="0"/>
        <w:ind w:firstLineChars="200" w:firstLine="640"/>
        <w:jc w:val="left"/>
        <w:rPr>
          <w:rFonts w:ascii="方正仿宋_GBK" w:eastAsia="方正仿宋_GBK" w:cs="Times New Roman" w:hAnsi="Times New Roman"/>
          <w:b/>
          <w:sz w:val="32"/>
          <w:szCs w:val="32"/>
        </w:rPr>
      </w:pPr>
      <w:r>
        <w:rPr>
          <w:rFonts w:ascii="方正仿宋_GBK" w:eastAsia="方正仿宋_GBK" w:cs="Times New Roman" w:hAnsi="Times New Roman" w:hint="eastAsia"/>
          <w:b/>
          <w:sz w:val="32"/>
          <w:szCs w:val="32"/>
        </w:rPr>
        <w:t>机构设置：</w:t>
      </w:r>
    </w:p>
    <w:p>
      <w:pPr>
        <w:jc w:val="center"/>
        <w:outlineLvl w:val="0"/>
        <w:rPr>
          <w:rFonts w:ascii="Times New Roman" w:eastAsia="方正小标宋_GBK" w:cs="Times New Roman" w:hAnsi="Times New Roman"/>
          <w:sz w:val="32"/>
          <w:szCs w:val="24"/>
        </w:rPr>
      </w:pPr>
      <w:r>
        <w:rPr>
          <w:rFonts w:ascii="Times New Roman" w:eastAsia="方正小标宋_GBK" w:cs="Times New Roman" w:hAnsi="Times New Roman"/>
          <w:sz w:val="32"/>
          <w:szCs w:val="24"/>
        </w:rPr>
        <w:t>部门</w:t>
      </w:r>
      <w:r>
        <w:rPr>
          <w:rFonts w:ascii="Times New Roman" w:eastAsia="方正小标宋_GBK" w:cs="Times New Roman" w:hAnsi="Times New Roman" w:hint="eastAsia"/>
          <w:sz w:val="32"/>
          <w:szCs w:val="24"/>
        </w:rPr>
        <w:t>机构设置情况</w:t>
      </w:r>
    </w:p>
    <w:tbl>
      <w:tblPr>
        <w:jc w:val="center"/>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417"/>
        <w:gridCol w:w="1134"/>
        <w:gridCol w:w="1276"/>
        <w:gridCol w:w="2902"/>
      </w:tblGrid>
      <w:tr>
        <w:trPr>
          <w:trHeight w:val="300"/>
          <w:tblHeader/>
        </w:trPr>
        <w:tc>
          <w:tcPr>
            <w:tcW w:w="4417" w:type="dxa"/>
            <w:vMerge w:val="restart"/>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单位名称</w:t>
            </w:r>
          </w:p>
        </w:tc>
        <w:tc>
          <w:tcPr>
            <w:tcW w:w="1134" w:type="dxa"/>
            <w:vMerge w:val="restart"/>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单位性质</w:t>
            </w:r>
          </w:p>
        </w:tc>
        <w:tc>
          <w:tcPr>
            <w:tcW w:w="1276" w:type="dxa"/>
            <w:vMerge w:val="restart"/>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单位规格</w:t>
            </w:r>
          </w:p>
        </w:tc>
        <w:tc>
          <w:tcPr>
            <w:tcW w:w="2902" w:type="dxa"/>
            <w:vMerge w:val="restart"/>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经费保障形式</w:t>
            </w:r>
          </w:p>
        </w:tc>
      </w:tr>
      <w:tr>
        <w:trPr>
          <w:trHeight w:val="300"/>
          <w:tblHeader/>
        </w:trPr>
        <w:tc>
          <w:tcPr>
            <w:tcW w:w="4417" w:type="dxa"/>
            <w:vMerge/>
            <w:tcBorders>
              <w:top w:val="single" w:sz="6" w:space="0" w:color="000000"/>
              <w:left w:val="single" w:sz="6" w:space="0" w:color="000000"/>
              <w:right w:val="single" w:sz="6" w:space="0" w:color="000000"/>
            </w:tcBorders>
            <w:vAlign w:val="center"/>
          </w:tcPr>
          <w:p/>
        </w:tc>
        <w:tc>
          <w:tcPr>
            <w:tcW w:w="1134" w:type="dxa"/>
            <w:vMerge/>
            <w:tcBorders>
              <w:top w:val="single" w:sz="6" w:space="0" w:color="000000"/>
              <w:left w:val="single" w:sz="6" w:space="0" w:color="000000"/>
              <w:right w:val="single" w:sz="6" w:space="0" w:color="000000"/>
            </w:tcBorders>
            <w:vAlign w:val="center"/>
          </w:tcPr>
          <w:p/>
        </w:tc>
        <w:tc>
          <w:tcPr>
            <w:tcW w:w="1276" w:type="dxa"/>
            <w:vMerge/>
            <w:tcBorders>
              <w:top w:val="single" w:sz="6" w:space="0" w:color="000000"/>
              <w:left w:val="single" w:sz="6" w:space="0" w:color="000000"/>
              <w:right w:val="single" w:sz="6" w:space="0" w:color="000000"/>
            </w:tcBorders>
            <w:vAlign w:val="center"/>
          </w:tcPr>
          <w:p/>
        </w:tc>
        <w:tc>
          <w:tcPr>
            <w:tcW w:w="2902" w:type="dxa"/>
            <w:vMerge/>
            <w:tcBorders>
              <w:top w:val="single" w:sz="6" w:space="0" w:color="000000"/>
              <w:left w:val="single" w:sz="6" w:space="0" w:color="000000"/>
              <w:right w:val="single" w:sz="6" w:space="0" w:color="000000"/>
            </w:tcBorders>
            <w:vAlign w:val="center"/>
          </w:tcPr>
          <w:p/>
        </w:tc>
      </w:tr>
      <w:tr>
        <w:trPr>
          <w:trHeight w:val="227"/>
        </w:trPr>
        <w:tc>
          <w:tcPr>
            <w:tcW w:w="4417" w:type="dxa"/>
            <w:tcBorders>
              <w:top w:val="single" w:sz="6" w:space="0" w:color="000000"/>
              <w:left w:val="single" w:sz="6" w:space="0" w:color="000000"/>
              <w:right w:val="single" w:sz="6" w:space="0" w:color="000000"/>
            </w:tcBorders>
            <w:vAlign w:val="center"/>
          </w:tcPr>
          <w:p>
            <w:pPr>
              <w:spacing w:line="300" w:lineRule="exact"/>
              <w:jc w:val="left"/>
              <w:rPr>
                <w:rFonts w:ascii="Times New Roman" w:eastAsia="方正书宋_GBK" w:cs="Times New Roman" w:hAnsi="Times New Roman"/>
                <w:szCs w:val="24"/>
              </w:rPr>
            </w:pPr>
            <w:r>
              <w:rPr>
                <w:rFonts w:ascii="仿宋" w:eastAsia="仿宋" w:hAnsi="仿宋" w:hint="eastAsia"/>
                <w:sz w:val="32"/>
                <w:szCs w:val="32"/>
                <w:lang w:eastAsia="zh-CN"/>
              </w:rPr>
              <w:t>中共</w:t>
            </w:r>
            <w:r>
              <w:rPr>
                <w:rFonts w:ascii="仿宋" w:eastAsia="仿宋" w:hAnsi="仿宋"/>
                <w:sz w:val="32"/>
                <w:szCs w:val="32"/>
              </w:rPr>
              <w:t>深泽县</w:t>
            </w:r>
            <w:r>
              <w:rPr>
                <w:rFonts w:ascii="仿宋" w:eastAsia="仿宋" w:hAnsi="仿宋" w:hint="eastAsia"/>
                <w:sz w:val="32"/>
                <w:szCs w:val="32"/>
                <w:lang w:eastAsia="zh-CN"/>
              </w:rPr>
              <w:t>委</w:t>
            </w:r>
            <w:r>
              <w:rPr>
                <w:rFonts w:ascii="仿宋" w:eastAsia="仿宋" w:hAnsi="仿宋"/>
                <w:sz w:val="32"/>
                <w:szCs w:val="32"/>
              </w:rPr>
              <w:t>机构编制委员会办公室</w:t>
            </w:r>
          </w:p>
        </w:tc>
        <w:tc>
          <w:tcPr>
            <w:tcW w:w="1134" w:type="dxa"/>
            <w:tcBorders>
              <w:top w:val="single" w:sz="6" w:space="0" w:color="000000"/>
              <w:left w:val="single" w:sz="6" w:space="0" w:color="000000"/>
              <w:right w:val="single" w:sz="6" w:space="0" w:color="000000"/>
            </w:tcBorders>
            <w:vAlign w:val="center"/>
          </w:tcPr>
          <w:p>
            <w:pPr>
              <w:spacing w:line="300" w:lineRule="exact"/>
              <w:jc w:val="center"/>
              <w:rPr>
                <w:rFonts w:ascii="Times New Roman" w:eastAsia="方正书宋_GBK" w:cs="Times New Roman" w:hAnsi="Times New Roman"/>
                <w:szCs w:val="24"/>
              </w:rPr>
            </w:pPr>
            <w:r>
              <w:rPr>
                <w:rFonts w:ascii="方正书宋_GBK" w:eastAsia="方正书宋_GBK" w:hint="eastAsia"/>
              </w:rPr>
              <w:t>行政</w:t>
            </w:r>
          </w:p>
        </w:tc>
        <w:tc>
          <w:tcPr>
            <w:tcW w:w="1276" w:type="dxa"/>
            <w:tcBorders>
              <w:top w:val="single" w:sz="6" w:space="0" w:color="000000"/>
              <w:left w:val="single" w:sz="6" w:space="0" w:color="000000"/>
              <w:right w:val="single" w:sz="6" w:space="0" w:color="000000"/>
            </w:tcBorders>
            <w:vAlign w:val="center"/>
          </w:tcPr>
          <w:p>
            <w:pPr>
              <w:spacing w:line="300" w:lineRule="exact"/>
              <w:jc w:val="center"/>
              <w:rPr>
                <w:rFonts w:ascii="Times New Roman" w:eastAsia="方正书宋_GBK" w:cs="Times New Roman" w:hAnsi="Times New Roman"/>
                <w:szCs w:val="24"/>
              </w:rPr>
            </w:pPr>
            <w:r>
              <w:rPr>
                <w:rFonts w:ascii="方正书宋_GBK" w:eastAsia="方正书宋_GBK" w:hint="eastAsia"/>
              </w:rPr>
              <w:t>正科级</w:t>
            </w:r>
          </w:p>
        </w:tc>
        <w:tc>
          <w:tcPr>
            <w:tcW w:w="2902" w:type="dxa"/>
            <w:tcBorders>
              <w:top w:val="single" w:sz="6" w:space="0" w:color="000000"/>
              <w:left w:val="single" w:sz="6" w:space="0" w:color="000000"/>
              <w:right w:val="single" w:sz="6" w:space="0" w:color="000000"/>
            </w:tcBorders>
            <w:vAlign w:val="center"/>
          </w:tcPr>
          <w:p>
            <w:pPr>
              <w:spacing w:line="300" w:lineRule="exact"/>
              <w:jc w:val="center"/>
              <w:rPr>
                <w:rFonts w:ascii="Times New Roman" w:eastAsia="方正书宋_GBK" w:cs="Times New Roman" w:hAnsi="Times New Roman"/>
                <w:szCs w:val="24"/>
              </w:rPr>
            </w:pPr>
            <w:r>
              <w:rPr>
                <w:rFonts w:ascii="方正书宋_GBK" w:eastAsia="方正书宋_GBK" w:hint="eastAsia"/>
              </w:rPr>
              <w:t>财政拨款</w:t>
            </w:r>
          </w:p>
        </w:tc>
      </w:tr>
    </w:tbl>
    <w:p/>
    <w:p>
      <w:pPr>
        <w:ind w:firstLine="640"/>
        <w:rPr>
          <w:rFonts w:ascii="黑体" w:eastAsia="黑体" w:cs="Times New Roman" w:hAnsi="黑体"/>
          <w:sz w:val="32"/>
          <w:szCs w:val="32"/>
        </w:rPr>
      </w:pPr>
      <w:r>
        <w:rPr>
          <w:rFonts w:ascii="黑体" w:eastAsia="黑体" w:cs="Times New Roman" w:hAnsi="黑体" w:hint="eastAsia"/>
          <w:sz w:val="32"/>
          <w:szCs w:val="32"/>
        </w:rPr>
        <w:t>二、部门预算安排的总体情况</w:t>
      </w:r>
    </w:p>
    <w:p>
      <w:pPr>
        <w:ind w:firstLine="640"/>
        <w:rPr>
          <w:rFonts w:ascii="仿宋" w:eastAsia="仿宋" w:cs="Times New Roman" w:hAnsi="仿宋"/>
          <w:sz w:val="32"/>
          <w:szCs w:val="32"/>
        </w:rPr>
      </w:pPr>
      <w:r>
        <w:rPr>
          <w:rFonts w:ascii="仿宋" w:eastAsia="仿宋" w:cs="Times New Roman" w:hAnsi="仿宋"/>
          <w:sz w:val="32"/>
          <w:szCs w:val="32"/>
        </w:rPr>
        <w:t>按照预算管理有关规定，目前我</w:t>
      </w:r>
      <w:r>
        <w:rPr>
          <w:rFonts w:ascii="仿宋" w:eastAsia="仿宋" w:cs="Times New Roman" w:hAnsi="仿宋" w:hint="eastAsia"/>
          <w:sz w:val="32"/>
          <w:szCs w:val="32"/>
        </w:rPr>
        <w:t>县</w:t>
      </w:r>
      <w:r>
        <w:rPr>
          <w:rFonts w:ascii="仿宋" w:eastAsia="仿宋" w:cs="Times New Roman" w:hAnsi="仿宋"/>
          <w:sz w:val="32"/>
          <w:szCs w:val="32"/>
        </w:rPr>
        <w:t>部门预算的编制实行综合预算制度，即全部收入和支出都反映的预算中。</w:t>
      </w:r>
    </w:p>
    <w:p>
      <w:pPr>
        <w:adjustRightInd w:val="0"/>
        <w:snapToGrid w:val="0"/>
        <w:spacing w:line="600" w:lineRule="exact"/>
        <w:ind w:left="851"/>
        <w:jc w:val="left"/>
        <w:rPr>
          <w:rFonts w:ascii="仿宋" w:eastAsia="仿宋" w:cs="仿宋_GB2312" w:hAnsi="仿宋"/>
          <w:bCs/>
          <w:sz w:val="32"/>
          <w:szCs w:val="32"/>
        </w:rPr>
      </w:pPr>
      <w:r>
        <w:rPr>
          <w:rFonts w:ascii="仿宋" w:eastAsia="仿宋" w:cs="仿宋_GB2312" w:hAnsi="仿宋" w:hint="eastAsia"/>
          <w:bCs/>
          <w:sz w:val="32"/>
          <w:szCs w:val="32"/>
        </w:rPr>
        <w:t>（一）收入预算情况</w:t>
      </w:r>
    </w:p>
    <w:p>
      <w:pPr>
        <w:adjustRightInd w:val="0"/>
        <w:snapToGrid w:val="0"/>
        <w:spacing w:line="600" w:lineRule="exact"/>
        <w:ind w:firstLineChars="200" w:firstLine="640"/>
        <w:jc w:val="left"/>
        <w:rPr>
          <w:rFonts w:ascii="仿宋" w:eastAsia="仿宋" w:cs="仿宋_GB2312" w:hAnsi="仿宋"/>
          <w:bCs/>
          <w:sz w:val="32"/>
          <w:szCs w:val="32"/>
        </w:rPr>
      </w:pPr>
      <w:r>
        <w:rPr>
          <w:rFonts w:ascii="仿宋" w:eastAsia="仿宋" w:cs="仿宋_GB2312" w:hAnsi="仿宋" w:hint="eastAsia"/>
          <w:bCs/>
          <w:sz w:val="32"/>
          <w:szCs w:val="32"/>
        </w:rPr>
        <w:t>201</w:t>
      </w:r>
      <w:r>
        <w:rPr>
          <w:rFonts w:ascii="仿宋" w:eastAsia="仿宋" w:cs="仿宋_GB2312" w:hAnsi="仿宋" w:hint="eastAsia"/>
          <w:bCs/>
          <w:sz w:val="32"/>
          <w:szCs w:val="32"/>
          <w:lang w:val="en-US" w:eastAsia="zh-CN"/>
        </w:rPr>
        <w:t>9</w:t>
      </w:r>
      <w:r>
        <w:rPr>
          <w:rFonts w:ascii="仿宋" w:eastAsia="仿宋" w:cs="仿宋_GB2312" w:hAnsi="仿宋" w:hint="eastAsia"/>
          <w:bCs/>
          <w:sz w:val="32"/>
          <w:szCs w:val="32"/>
        </w:rPr>
        <w:t>年收入预算</w:t>
      </w:r>
      <w:r>
        <w:rPr>
          <w:rFonts w:ascii="仿宋" w:eastAsia="仿宋" w:cs="仿宋_GB2312" w:hAnsi="仿宋" w:hint="eastAsia"/>
          <w:bCs/>
          <w:sz w:val="32"/>
          <w:szCs w:val="32"/>
          <w:lang w:val="en-US" w:eastAsia="zh-CN"/>
        </w:rPr>
        <w:t>78.11</w:t>
      </w:r>
      <w:r>
        <w:rPr>
          <w:rFonts w:ascii="仿宋" w:eastAsia="仿宋" w:cs="仿宋_GB2312" w:hAnsi="仿宋" w:hint="eastAsia"/>
          <w:bCs/>
          <w:sz w:val="32"/>
          <w:szCs w:val="32"/>
        </w:rPr>
        <w:t>万元，</w:t>
      </w:r>
      <w:r>
        <w:rPr>
          <w:rFonts w:ascii="仿宋" w:eastAsia="仿宋" w:cs="仿宋_GB2312" w:hAnsi="仿宋" w:hint="eastAsia"/>
          <w:sz w:val="32"/>
          <w:szCs w:val="32"/>
        </w:rPr>
        <w:t>其中：一般公共预算收入</w:t>
      </w:r>
      <w:r>
        <w:rPr>
          <w:rFonts w:ascii="仿宋" w:eastAsia="仿宋" w:cs="仿宋_GB2312" w:hAnsi="仿宋" w:hint="eastAsia"/>
          <w:sz w:val="32"/>
          <w:szCs w:val="32"/>
          <w:lang w:val="en-US" w:eastAsia="zh-CN"/>
        </w:rPr>
        <w:t>78.11</w:t>
      </w:r>
      <w:r>
        <w:rPr>
          <w:rFonts w:ascii="仿宋" w:eastAsia="仿宋" w:cs="仿宋_GB2312" w:hAnsi="仿宋" w:hint="eastAsia"/>
          <w:sz w:val="32"/>
          <w:szCs w:val="32"/>
        </w:rPr>
        <w:t>万元</w:t>
      </w:r>
      <w:r>
        <w:rPr>
          <w:rFonts w:ascii="仿宋" w:eastAsia="仿宋" w:cs="仿宋_GB2312" w:hAnsi="仿宋" w:hint="eastAsia"/>
          <w:sz w:val="32"/>
          <w:szCs w:val="32"/>
          <w:lang w:eastAsia="zh-CN"/>
        </w:rPr>
        <w:t>、</w:t>
      </w:r>
      <w:r>
        <w:rPr>
          <w:rFonts w:ascii="仿宋" w:eastAsia="仿宋" w:cs="仿宋_GB2312" w:hAnsi="仿宋" w:hint="eastAsia"/>
          <w:bCs/>
          <w:sz w:val="32"/>
          <w:szCs w:val="32"/>
        </w:rPr>
        <w:t>政府性基金收入0万元、国有资本经营预算收入0万元、财政专户核拨收入0万元，其他来源收入0万元。</w:t>
      </w:r>
    </w:p>
    <w:p>
      <w:pPr>
        <w:adjustRightInd w:val="0"/>
        <w:snapToGrid w:val="0"/>
        <w:spacing w:line="600" w:lineRule="exact"/>
        <w:ind w:firstLineChars="200" w:firstLine="640"/>
        <w:jc w:val="left"/>
        <w:rPr>
          <w:rFonts w:ascii="仿宋" w:eastAsia="仿宋" w:cs="仿宋_GB2312" w:hAnsi="仿宋"/>
          <w:bCs/>
          <w:sz w:val="32"/>
          <w:szCs w:val="32"/>
        </w:rPr>
      </w:pPr>
      <w:r>
        <w:rPr>
          <w:rFonts w:ascii="仿宋" w:eastAsia="仿宋" w:cs="仿宋_GB2312" w:hAnsi="仿宋" w:hint="eastAsia"/>
          <w:bCs/>
          <w:sz w:val="32"/>
          <w:szCs w:val="32"/>
        </w:rPr>
        <w:t>（二）支出预算情况</w:t>
      </w:r>
    </w:p>
    <w:p>
      <w:pPr>
        <w:adjustRightInd w:val="0"/>
        <w:snapToGrid w:val="0"/>
        <w:spacing w:line="600" w:lineRule="exact"/>
        <w:ind w:firstLineChars="200" w:firstLine="640"/>
        <w:jc w:val="left"/>
        <w:rPr>
          <w:rFonts w:ascii="仿宋" w:eastAsia="仿宋" w:cs="仿宋_GB2312" w:hAnsi="仿宋"/>
          <w:bCs/>
          <w:sz w:val="32"/>
          <w:szCs w:val="32"/>
        </w:rPr>
      </w:pPr>
      <w:r>
        <w:rPr>
          <w:rFonts w:ascii="仿宋" w:eastAsia="仿宋" w:cs="仿宋_GB2312" w:hAnsi="仿宋" w:hint="eastAsia"/>
          <w:bCs/>
          <w:sz w:val="32"/>
          <w:szCs w:val="32"/>
        </w:rPr>
        <w:t>201</w:t>
      </w:r>
      <w:r>
        <w:rPr>
          <w:rFonts w:ascii="仿宋" w:eastAsia="仿宋" w:cs="仿宋_GB2312" w:hAnsi="仿宋" w:hint="eastAsia"/>
          <w:bCs/>
          <w:sz w:val="32"/>
          <w:szCs w:val="32"/>
          <w:lang w:val="en-US" w:eastAsia="zh-CN"/>
        </w:rPr>
        <w:t>9</w:t>
      </w:r>
      <w:r>
        <w:rPr>
          <w:rFonts w:ascii="仿宋" w:eastAsia="仿宋" w:cs="仿宋_GB2312" w:hAnsi="仿宋" w:hint="eastAsia"/>
          <w:bCs/>
          <w:sz w:val="32"/>
          <w:szCs w:val="32"/>
        </w:rPr>
        <w:t>年支出预算</w:t>
      </w:r>
      <w:r>
        <w:rPr>
          <w:rFonts w:ascii="仿宋" w:eastAsia="仿宋" w:cs="仿宋_GB2312" w:hAnsi="仿宋" w:hint="eastAsia"/>
          <w:bCs/>
          <w:sz w:val="32"/>
          <w:szCs w:val="32"/>
          <w:lang w:val="en-US" w:eastAsia="zh-CN"/>
        </w:rPr>
        <w:t>78.11</w:t>
      </w:r>
      <w:r>
        <w:rPr>
          <w:rFonts w:ascii="仿宋" w:eastAsia="仿宋" w:cs="仿宋_GB2312" w:hAnsi="仿宋" w:hint="eastAsia"/>
          <w:bCs/>
          <w:sz w:val="32"/>
          <w:szCs w:val="32"/>
        </w:rPr>
        <w:t>万元，其中</w:t>
      </w:r>
      <w:r>
        <w:rPr>
          <w:rFonts w:ascii="仿宋" w:eastAsia="仿宋" w:cs="仿宋_GB2312" w:hAnsi="仿宋" w:hint="eastAsia"/>
          <w:bCs/>
          <w:sz w:val="32"/>
          <w:szCs w:val="32"/>
          <w:lang w:eastAsia="zh-CN"/>
        </w:rPr>
        <w:t>基本支出</w:t>
      </w:r>
      <w:r>
        <w:rPr>
          <w:rFonts w:ascii="仿宋" w:eastAsia="仿宋" w:cs="仿宋_GB2312" w:hAnsi="仿宋" w:hint="eastAsia"/>
          <w:bCs/>
          <w:sz w:val="32"/>
          <w:szCs w:val="32"/>
          <w:lang w:val="en-US" w:eastAsia="zh-CN"/>
        </w:rPr>
        <w:t>68.11万元，包括</w:t>
      </w:r>
      <w:r>
        <w:rPr>
          <w:rFonts w:ascii="仿宋" w:eastAsia="仿宋" w:cs="仿宋_GB2312" w:hAnsi="仿宋" w:hint="eastAsia"/>
          <w:bCs/>
          <w:sz w:val="32"/>
          <w:szCs w:val="32"/>
        </w:rPr>
        <w:t>人员经费</w:t>
      </w:r>
      <w:r>
        <w:rPr>
          <w:rFonts w:ascii="仿宋" w:eastAsia="仿宋" w:cs="仿宋_GB2312" w:hAnsi="仿宋" w:hint="eastAsia"/>
          <w:bCs/>
          <w:sz w:val="32"/>
          <w:szCs w:val="32"/>
          <w:lang w:val="en-US" w:eastAsia="zh-CN"/>
        </w:rPr>
        <w:t>62.1</w:t>
      </w:r>
      <w:r>
        <w:rPr>
          <w:rFonts w:ascii="仿宋" w:eastAsia="仿宋" w:cs="仿宋_GB2312" w:hAnsi="仿宋" w:hint="eastAsia"/>
          <w:bCs/>
          <w:sz w:val="32"/>
          <w:szCs w:val="32"/>
        </w:rPr>
        <w:t>万元，正常公用经费</w:t>
      </w:r>
      <w:r>
        <w:rPr>
          <w:rFonts w:ascii="仿宋" w:eastAsia="仿宋" w:cs="仿宋_GB2312" w:hAnsi="仿宋" w:hint="eastAsia"/>
          <w:bCs/>
          <w:sz w:val="32"/>
          <w:szCs w:val="32"/>
          <w:lang w:val="en-US" w:eastAsia="zh-CN"/>
        </w:rPr>
        <w:t>6.01</w:t>
      </w:r>
      <w:r>
        <w:rPr>
          <w:rFonts w:ascii="仿宋" w:eastAsia="仿宋" w:cs="仿宋_GB2312" w:hAnsi="仿宋" w:hint="eastAsia"/>
          <w:bCs/>
          <w:sz w:val="32"/>
          <w:szCs w:val="32"/>
        </w:rPr>
        <w:t>万元</w:t>
      </w:r>
      <w:r>
        <w:rPr>
          <w:rFonts w:ascii="仿宋" w:eastAsia="仿宋" w:cs="仿宋_GB2312" w:hAnsi="仿宋" w:hint="eastAsia"/>
          <w:bCs/>
          <w:sz w:val="32"/>
          <w:szCs w:val="32"/>
          <w:lang w:val="en-US" w:eastAsia="zh-CN"/>
        </w:rPr>
        <w:t>;</w:t>
      </w:r>
      <w:r>
        <w:rPr>
          <w:rFonts w:ascii="仿宋" w:eastAsia="仿宋" w:cs="仿宋_GB2312" w:hAnsi="仿宋" w:hint="eastAsia"/>
          <w:bCs/>
          <w:sz w:val="32"/>
          <w:szCs w:val="32"/>
        </w:rPr>
        <w:t>项目经费</w:t>
      </w:r>
      <w:r>
        <w:rPr>
          <w:rFonts w:ascii="仿宋" w:eastAsia="仿宋" w:cs="仿宋_GB2312" w:hAnsi="仿宋" w:hint="eastAsia"/>
          <w:bCs/>
          <w:sz w:val="32"/>
          <w:szCs w:val="32"/>
          <w:lang w:val="en-US" w:eastAsia="zh-CN"/>
        </w:rPr>
        <w:t>10万元。</w:t>
      </w:r>
    </w:p>
    <w:p>
      <w:pPr>
        <w:adjustRightInd w:val="0"/>
        <w:snapToGrid w:val="0"/>
        <w:spacing w:line="600" w:lineRule="exact"/>
        <w:ind w:left="851"/>
        <w:jc w:val="left"/>
        <w:rPr>
          <w:rFonts w:ascii="仿宋" w:eastAsia="仿宋" w:cs="仿宋_GB2312" w:hAnsi="仿宋"/>
          <w:bCs/>
          <w:sz w:val="32"/>
          <w:szCs w:val="32"/>
        </w:rPr>
      </w:pPr>
      <w:r>
        <w:rPr>
          <w:rFonts w:ascii="仿宋" w:eastAsia="仿宋" w:cs="仿宋_GB2312" w:hAnsi="仿宋" w:hint="eastAsia"/>
          <w:bCs/>
          <w:sz w:val="32"/>
          <w:szCs w:val="32"/>
        </w:rPr>
        <w:t>(三)与上一年度增减情况</w:t>
      </w:r>
    </w:p>
    <w:p>
      <w:pPr>
        <w:adjustRightInd w:val="0"/>
        <w:snapToGrid w:val="0"/>
        <w:spacing w:line="600" w:lineRule="exact"/>
        <w:ind w:firstLineChars="200" w:firstLine="640"/>
        <w:jc w:val="left"/>
        <w:rPr>
          <w:rFonts w:ascii="仿宋" w:eastAsia="仿宋" w:cs="仿宋_GB2312" w:hAnsi="仿宋"/>
          <w:bCs/>
          <w:sz w:val="32"/>
          <w:szCs w:val="32"/>
        </w:rPr>
      </w:pPr>
      <w:r>
        <w:rPr>
          <w:rFonts w:ascii="仿宋" w:eastAsia="仿宋" w:cs="仿宋_GB2312" w:hAnsi="仿宋" w:hint="eastAsia"/>
          <w:bCs/>
          <w:sz w:val="32"/>
          <w:szCs w:val="32"/>
        </w:rPr>
        <w:t>深泽县</w:t>
      </w:r>
      <w:r>
        <w:rPr>
          <w:rFonts w:ascii="仿宋" w:eastAsia="仿宋" w:cs="仿宋_GB2312" w:hAnsi="仿宋"/>
          <w:bCs/>
          <w:sz w:val="32"/>
          <w:szCs w:val="32"/>
        </w:rPr>
        <w:t>认真贯彻《党政机关厉行节约反对浪费条例》精神，</w:t>
      </w:r>
      <w:r>
        <w:rPr>
          <w:rFonts w:ascii="仿宋" w:eastAsia="仿宋" w:cs="仿宋_GB2312" w:hAnsi="仿宋" w:hint="eastAsia"/>
          <w:bCs/>
          <w:sz w:val="32"/>
          <w:szCs w:val="32"/>
        </w:rPr>
        <w:t>严格控制各项</w:t>
      </w:r>
      <w:r>
        <w:rPr>
          <w:rFonts w:ascii="仿宋" w:eastAsia="仿宋" w:cs="仿宋_GB2312" w:hAnsi="仿宋"/>
          <w:bCs/>
          <w:sz w:val="32"/>
          <w:szCs w:val="32"/>
        </w:rPr>
        <w:t>经费，</w:t>
      </w:r>
      <w:r>
        <w:rPr>
          <w:rFonts w:ascii="仿宋" w:eastAsia="仿宋" w:cs="仿宋_GB2312" w:hAnsi="仿宋" w:hint="eastAsia"/>
          <w:bCs/>
          <w:sz w:val="32"/>
          <w:szCs w:val="32"/>
        </w:rPr>
        <w:t>随着国家对机关事业单位人员工资的调整，我办201</w:t>
      </w:r>
      <w:r>
        <w:rPr>
          <w:rFonts w:ascii="仿宋" w:eastAsia="仿宋" w:cs="仿宋_GB2312" w:hAnsi="仿宋" w:hint="eastAsia"/>
          <w:bCs/>
          <w:sz w:val="32"/>
          <w:szCs w:val="32"/>
          <w:lang w:val="en-US" w:eastAsia="zh-CN"/>
        </w:rPr>
        <w:t>9</w:t>
      </w:r>
      <w:r>
        <w:rPr>
          <w:rFonts w:ascii="仿宋" w:eastAsia="仿宋" w:cs="仿宋_GB2312" w:hAnsi="仿宋" w:hint="eastAsia"/>
          <w:bCs/>
          <w:sz w:val="32"/>
          <w:szCs w:val="32"/>
        </w:rPr>
        <w:t>年预算经费比201</w:t>
      </w:r>
      <w:r>
        <w:rPr>
          <w:rFonts w:ascii="仿宋" w:eastAsia="仿宋" w:cs="仿宋_GB2312" w:hAnsi="仿宋" w:hint="eastAsia"/>
          <w:bCs/>
          <w:sz w:val="32"/>
          <w:szCs w:val="32"/>
          <w:lang w:val="en-US" w:eastAsia="zh-CN"/>
        </w:rPr>
        <w:t>8</w:t>
      </w:r>
      <w:r>
        <w:rPr>
          <w:rFonts w:ascii="仿宋" w:eastAsia="仿宋" w:cs="仿宋_GB2312" w:hAnsi="仿宋" w:hint="eastAsia"/>
          <w:bCs/>
          <w:sz w:val="32"/>
          <w:szCs w:val="32"/>
        </w:rPr>
        <w:t>年预算经费增加了</w:t>
      </w:r>
      <w:r>
        <w:rPr>
          <w:rFonts w:ascii="仿宋" w:eastAsia="仿宋" w:cs="仿宋_GB2312" w:hAnsi="仿宋" w:hint="eastAsia"/>
          <w:bCs/>
          <w:sz w:val="32"/>
          <w:szCs w:val="32"/>
          <w:lang w:val="en-US" w:eastAsia="zh-CN"/>
        </w:rPr>
        <w:t>0.12</w:t>
      </w:r>
      <w:r>
        <w:rPr>
          <w:rFonts w:ascii="仿宋" w:eastAsia="仿宋" w:cs="仿宋_GB2312" w:hAnsi="仿宋" w:hint="eastAsia"/>
          <w:bCs/>
          <w:sz w:val="32"/>
          <w:szCs w:val="32"/>
        </w:rPr>
        <w:t>万元，其中：基本支出增加</w:t>
      </w:r>
      <w:r>
        <w:rPr>
          <w:rFonts w:ascii="仿宋" w:eastAsia="仿宋" w:cs="仿宋_GB2312" w:hAnsi="仿宋" w:hint="eastAsia"/>
          <w:bCs/>
          <w:sz w:val="32"/>
          <w:szCs w:val="32"/>
          <w:lang w:val="en-US" w:eastAsia="zh-CN"/>
        </w:rPr>
        <w:t>0.12</w:t>
      </w:r>
      <w:r>
        <w:rPr>
          <w:rFonts w:ascii="仿宋" w:eastAsia="仿宋" w:cs="仿宋_GB2312" w:hAnsi="仿宋" w:hint="eastAsia"/>
          <w:bCs/>
          <w:sz w:val="32"/>
          <w:szCs w:val="32"/>
        </w:rPr>
        <w:t>万元，主要是人员经费和日常公用经费调整</w:t>
      </w:r>
      <w:r>
        <w:rPr>
          <w:rFonts w:ascii="仿宋" w:eastAsia="仿宋" w:cs="仿宋_GB2312" w:hAnsi="仿宋" w:hint="eastAsia"/>
          <w:bCs/>
          <w:sz w:val="32"/>
          <w:szCs w:val="32"/>
          <w:lang w:eastAsia="zh-CN"/>
        </w:rPr>
        <w:t>。</w:t>
      </w:r>
    </w:p>
    <w:p>
      <w:pPr>
        <w:autoSpaceDE w:val="0"/>
        <w:autoSpaceDN w:val="0"/>
        <w:adjustRightInd w:val="0"/>
        <w:ind w:firstLineChars="200" w:firstLine="640"/>
        <w:jc w:val="left"/>
        <w:rPr>
          <w:rFonts w:ascii="黑体" w:eastAsia="黑体" w:cs="Times New Roman" w:hAnsi="黑体"/>
          <w:sz w:val="32"/>
          <w:szCs w:val="32"/>
        </w:rPr>
      </w:pPr>
      <w:r>
        <w:rPr>
          <w:rFonts w:ascii="黑体" w:eastAsia="黑体" w:cs="Times New Roman" w:hAnsi="黑体" w:hint="eastAsia"/>
          <w:sz w:val="32"/>
          <w:szCs w:val="32"/>
        </w:rPr>
        <w:t>三、机关运行经费安排情况</w:t>
      </w:r>
    </w:p>
    <w:p>
      <w:pPr>
        <w:autoSpaceDE w:val="0"/>
        <w:autoSpaceDN w:val="0"/>
        <w:adjustRightInd w:val="0"/>
        <w:ind w:left="198" w:firstLineChars="200" w:firstLine="640"/>
        <w:jc w:val="left"/>
        <w:rPr>
          <w:rFonts w:ascii="仿宋_GB2312" w:eastAsia="仿宋_GB2312" w:cs="仿宋_GB2312" w:hAnsi="仿宋_GB2312"/>
          <w:sz w:val="32"/>
          <w:szCs w:val="32"/>
        </w:rPr>
      </w:pPr>
      <w:r>
        <w:rPr>
          <w:rFonts w:ascii="仿宋_GB2312" w:eastAsia="仿宋_GB2312" w:cs="仿宋_GB2312" w:hAnsi="仿宋_GB2312" w:hint="eastAsia"/>
          <w:sz w:val="32"/>
          <w:szCs w:val="32"/>
        </w:rPr>
        <w:t>机关运行经费共计安排</w:t>
      </w:r>
      <w:r>
        <w:rPr>
          <w:rFonts w:ascii="仿宋_GB2312" w:eastAsia="仿宋_GB2312" w:cs="仿宋_GB2312" w:hAnsi="仿宋_GB2312" w:hint="eastAsia"/>
          <w:sz w:val="32"/>
          <w:szCs w:val="32"/>
          <w:lang w:val="en-US" w:eastAsia="zh-CN"/>
        </w:rPr>
        <w:t>6.01</w:t>
      </w:r>
      <w:r>
        <w:rPr>
          <w:rFonts w:ascii="仿宋_GB2312" w:eastAsia="仿宋_GB2312" w:cs="仿宋_GB2312" w:hAnsi="仿宋_GB2312" w:hint="eastAsia"/>
          <w:sz w:val="32"/>
          <w:szCs w:val="32"/>
        </w:rPr>
        <w:t>万元，主要用于保证机关正常运转的</w:t>
      </w:r>
      <w:r>
        <w:rPr>
          <w:rFonts w:ascii="仿宋_GB2312" w:eastAsia="仿宋_GB2312" w:cs="仿宋_GB2312" w:hAnsi="仿宋_GB2312" w:hint="eastAsia"/>
          <w:sz w:val="32"/>
          <w:szCs w:val="32"/>
          <w:lang w:eastAsia="zh-CN"/>
        </w:rPr>
        <w:t>办公费、福利费</w:t>
      </w:r>
      <w:r>
        <w:rPr>
          <w:rFonts w:ascii="仿宋_GB2312" w:eastAsia="仿宋_GB2312" w:cs="仿宋_GB2312" w:hAnsi="仿宋_GB2312" w:hint="eastAsia"/>
          <w:sz w:val="32"/>
          <w:szCs w:val="32"/>
        </w:rPr>
        <w:t>、</w:t>
      </w:r>
      <w:r>
        <w:rPr>
          <w:rFonts w:ascii="仿宋_GB2312" w:eastAsia="仿宋_GB2312" w:cs="仿宋_GB2312" w:hAnsi="仿宋_GB2312" w:hint="eastAsia"/>
          <w:sz w:val="32"/>
          <w:szCs w:val="32"/>
          <w:lang w:eastAsia="zh-CN"/>
        </w:rPr>
        <w:t>工会经费、</w:t>
      </w:r>
      <w:r>
        <w:rPr>
          <w:rFonts w:ascii="仿宋_GB2312" w:eastAsia="仿宋_GB2312" w:cs="仿宋_GB2312" w:hAnsi="仿宋_GB2312" w:hint="eastAsia"/>
          <w:sz w:val="32"/>
          <w:szCs w:val="32"/>
          <w:lang w:val="en-US" w:eastAsia="zh-CN"/>
        </w:rPr>
        <w:t>其他费用</w:t>
      </w:r>
      <w:r>
        <w:rPr>
          <w:rFonts w:ascii="仿宋_GB2312" w:eastAsia="仿宋_GB2312" w:cs="仿宋_GB2312" w:hAnsi="仿宋_GB2312" w:hint="eastAsia"/>
          <w:sz w:val="32"/>
          <w:szCs w:val="32"/>
        </w:rPr>
        <w:t>等支出。</w:t>
      </w:r>
    </w:p>
    <w:p>
      <w:pPr>
        <w:autoSpaceDE w:val="0"/>
        <w:autoSpaceDN w:val="0"/>
        <w:adjustRightInd w:val="0"/>
        <w:ind w:left="198" w:firstLineChars="200" w:firstLine="640"/>
        <w:jc w:val="left"/>
        <w:rPr>
          <w:rFonts w:ascii="黑体" w:eastAsia="黑体" w:cs="Times New Roman" w:hAnsi="黑体"/>
          <w:sz w:val="32"/>
          <w:szCs w:val="32"/>
        </w:rPr>
      </w:pPr>
      <w:r>
        <w:rPr>
          <w:rFonts w:ascii="黑体" w:eastAsia="黑体" w:cs="Times New Roman" w:hAnsi="黑体" w:hint="eastAsia"/>
          <w:sz w:val="32"/>
          <w:szCs w:val="32"/>
        </w:rPr>
        <w:t>四、财政拨款</w:t>
      </w:r>
      <w:r>
        <w:rPr>
          <w:rFonts w:ascii="黑体" w:eastAsia="黑体" w:cs="Times New Roman" w:hAnsi="黑体"/>
          <w:sz w:val="32"/>
          <w:szCs w:val="32"/>
        </w:rPr>
        <w:t>“</w:t>
      </w:r>
      <w:r>
        <w:rPr>
          <w:rFonts w:ascii="黑体" w:eastAsia="黑体" w:cs="Times New Roman" w:hAnsi="黑体" w:hint="eastAsia"/>
          <w:sz w:val="32"/>
          <w:szCs w:val="32"/>
        </w:rPr>
        <w:t>三公</w:t>
      </w:r>
      <w:r>
        <w:rPr>
          <w:rFonts w:ascii="黑体" w:eastAsia="黑体" w:cs="Times New Roman" w:hAnsi="黑体"/>
          <w:sz w:val="32"/>
          <w:szCs w:val="32"/>
        </w:rPr>
        <w:t>”</w:t>
      </w:r>
      <w:r>
        <w:rPr>
          <w:rFonts w:ascii="黑体" w:eastAsia="黑体" w:cs="Times New Roman" w:hAnsi="黑体" w:hint="eastAsia"/>
          <w:sz w:val="32"/>
          <w:szCs w:val="32"/>
        </w:rPr>
        <w:t>经费预算情况及增减变化原因</w:t>
      </w:r>
    </w:p>
    <w:p>
      <w:pPr>
        <w:spacing w:line="580" w:lineRule="exact"/>
        <w:ind w:firstLineChars="200" w:firstLine="640"/>
        <w:rPr>
          <w:rFonts w:ascii="仿宋" w:eastAsia="仿宋" w:cs="仿宋_GB2312" w:hAnsi="仿宋" w:hint="eastAsia"/>
          <w:bCs/>
          <w:sz w:val="32"/>
          <w:szCs w:val="32"/>
        </w:rPr>
      </w:pPr>
      <w:r>
        <w:rPr>
          <w:rFonts w:ascii="仿宋" w:eastAsia="仿宋" w:cs="仿宋_GB2312" w:hAnsi="仿宋" w:hint="eastAsia"/>
          <w:bCs/>
          <w:sz w:val="32"/>
          <w:szCs w:val="32"/>
        </w:rPr>
        <w:t>20</w:t>
      </w:r>
      <w:r>
        <w:rPr>
          <w:rFonts w:ascii="仿宋" w:eastAsia="仿宋" w:cs="仿宋_GB2312" w:hAnsi="仿宋" w:hint="eastAsia"/>
          <w:bCs/>
          <w:sz w:val="32"/>
          <w:szCs w:val="32"/>
          <w:lang w:val="en-US" w:eastAsia="zh-CN"/>
        </w:rPr>
        <w:t>19</w:t>
      </w:r>
      <w:r>
        <w:rPr>
          <w:rFonts w:ascii="仿宋" w:eastAsia="仿宋" w:cs="仿宋_GB2312" w:hAnsi="仿宋" w:hint="eastAsia"/>
          <w:bCs/>
          <w:sz w:val="32"/>
          <w:szCs w:val="32"/>
        </w:rPr>
        <w:t>年</w:t>
      </w:r>
      <w:r>
        <w:rPr>
          <w:rFonts w:ascii="仿宋" w:eastAsia="仿宋" w:cs="仿宋_GB2312" w:hAnsi="仿宋" w:hint="eastAsia"/>
          <w:sz w:val="32"/>
          <w:szCs w:val="32"/>
        </w:rPr>
        <w:t>财政拨款</w:t>
      </w:r>
      <w:r>
        <w:rPr>
          <w:rFonts w:ascii="仿宋" w:eastAsia="仿宋" w:cs="仿宋_GB2312" w:hAnsi="仿宋" w:hint="eastAsia"/>
          <w:bCs/>
          <w:sz w:val="32"/>
          <w:szCs w:val="32"/>
        </w:rPr>
        <w:t>“三公”</w:t>
      </w:r>
      <w:r>
        <w:rPr>
          <w:rFonts w:ascii="仿宋" w:eastAsia="仿宋" w:cs="仿宋_GB2312" w:hAnsi="仿宋" w:hint="eastAsia"/>
          <w:sz w:val="32"/>
          <w:szCs w:val="32"/>
        </w:rPr>
        <w:t>经费预算安排</w:t>
      </w:r>
      <w:r>
        <w:rPr>
          <w:rFonts w:ascii="仿宋" w:eastAsia="仿宋" w:cs="仿宋_GB2312" w:hAnsi="仿宋" w:hint="eastAsia"/>
          <w:bCs/>
          <w:sz w:val="32"/>
          <w:szCs w:val="32"/>
        </w:rPr>
        <w:t>0.00万元，与201</w:t>
      </w:r>
      <w:r>
        <w:rPr>
          <w:rFonts w:ascii="仿宋" w:eastAsia="仿宋" w:cs="仿宋_GB2312" w:hAnsi="仿宋" w:hint="eastAsia"/>
          <w:bCs/>
          <w:sz w:val="32"/>
          <w:szCs w:val="32"/>
          <w:lang w:val="en-US" w:eastAsia="zh-CN"/>
        </w:rPr>
        <w:t>8</w:t>
      </w:r>
      <w:r>
        <w:rPr>
          <w:rFonts w:ascii="仿宋" w:eastAsia="仿宋" w:cs="仿宋_GB2312" w:hAnsi="仿宋" w:hint="eastAsia"/>
          <w:bCs/>
          <w:sz w:val="32"/>
          <w:szCs w:val="32"/>
        </w:rPr>
        <w:t>年持平，无增减变化。其中，因公出国（境）费0万元，与201</w:t>
      </w:r>
      <w:r>
        <w:rPr>
          <w:rFonts w:ascii="仿宋" w:eastAsia="仿宋" w:cs="仿宋_GB2312" w:hAnsi="仿宋" w:hint="eastAsia"/>
          <w:bCs/>
          <w:sz w:val="32"/>
          <w:szCs w:val="32"/>
          <w:lang w:val="en-US" w:eastAsia="zh-CN"/>
        </w:rPr>
        <w:t>8</w:t>
      </w:r>
      <w:r>
        <w:rPr>
          <w:rFonts w:ascii="仿宋" w:eastAsia="仿宋" w:cs="仿宋_GB2312" w:hAnsi="仿宋" w:hint="eastAsia"/>
          <w:bCs/>
          <w:sz w:val="32"/>
          <w:szCs w:val="32"/>
        </w:rPr>
        <w:t>年持平，无增减变化；公务用车购置及运行维护费0.00万元(其中公务用车购置0万元，公务用车运行维护费0.00万元），与201</w:t>
      </w:r>
      <w:r>
        <w:rPr>
          <w:rFonts w:ascii="仿宋" w:eastAsia="仿宋" w:cs="仿宋_GB2312" w:hAnsi="仿宋" w:hint="eastAsia"/>
          <w:bCs/>
          <w:sz w:val="32"/>
          <w:szCs w:val="32"/>
          <w:lang w:val="en-US" w:eastAsia="zh-CN"/>
        </w:rPr>
        <w:t>8</w:t>
      </w:r>
      <w:r>
        <w:rPr>
          <w:rFonts w:ascii="仿宋" w:eastAsia="仿宋" w:cs="仿宋_GB2312" w:hAnsi="仿宋" w:hint="eastAsia"/>
          <w:bCs/>
          <w:sz w:val="32"/>
          <w:szCs w:val="32"/>
        </w:rPr>
        <w:t>年持平，无增减变化；公务接待费0万元，与201</w:t>
      </w:r>
      <w:r>
        <w:rPr>
          <w:rFonts w:ascii="仿宋" w:eastAsia="仿宋" w:cs="仿宋_GB2312" w:hAnsi="仿宋" w:hint="eastAsia"/>
          <w:bCs/>
          <w:sz w:val="32"/>
          <w:szCs w:val="32"/>
          <w:lang w:val="en-US" w:eastAsia="zh-CN"/>
        </w:rPr>
        <w:t>8</w:t>
      </w:r>
      <w:r>
        <w:rPr>
          <w:rFonts w:ascii="仿宋" w:eastAsia="仿宋" w:cs="仿宋_GB2312" w:hAnsi="仿宋" w:hint="eastAsia"/>
          <w:bCs/>
          <w:sz w:val="32"/>
          <w:szCs w:val="32"/>
        </w:rPr>
        <w:t>年持平，无增减变化。</w:t>
      </w:r>
    </w:p>
    <w:p>
      <w:pPr>
        <w:autoSpaceDE w:val="0"/>
        <w:autoSpaceDN w:val="0"/>
        <w:adjustRightInd w:val="0"/>
        <w:ind w:firstLineChars="200" w:firstLine="640"/>
        <w:jc w:val="left"/>
        <w:rPr>
          <w:rFonts w:ascii="黑体" w:eastAsia="黑体" w:cs="Times New Roman" w:hAnsi="黑体"/>
          <w:sz w:val="32"/>
          <w:szCs w:val="32"/>
        </w:rPr>
      </w:pPr>
      <w:r>
        <w:rPr>
          <w:rFonts w:ascii="黑体" w:eastAsia="黑体" w:cs="Times New Roman" w:hAnsi="黑体" w:hint="eastAsia"/>
          <w:sz w:val="32"/>
          <w:szCs w:val="32"/>
        </w:rPr>
        <w:t>五、绩效预算信息</w:t>
      </w:r>
    </w:p>
    <w:p>
      <w:pPr>
        <w:ind w:firstLineChars="200" w:firstLine="640"/>
        <w:jc w:val="left"/>
        <w:rPr>
          <w:rFonts w:ascii="Times New Roman" w:eastAsia="方正仿宋_GBK" w:cs="Times New Roman" w:hAnsi="Times New Roman"/>
          <w:b/>
          <w:sz w:val="32"/>
          <w:szCs w:val="32"/>
        </w:rPr>
      </w:pPr>
      <w:bookmarkStart w:id="1" w:name="_Toc471398463"/>
      <w:r>
        <w:rPr>
          <w:rFonts w:ascii="Times New Roman" w:eastAsia="方正仿宋_GBK" w:cs="Times New Roman" w:hAnsi="Times New Roman"/>
          <w:b/>
          <w:sz w:val="32"/>
          <w:szCs w:val="32"/>
        </w:rPr>
        <w:t>总体</w:t>
      </w:r>
      <w:r>
        <w:rPr>
          <w:rFonts w:ascii="Times New Roman" w:eastAsia="方正仿宋_GBK" w:cs="Times New Roman" w:hAnsi="Times New Roman" w:hint="eastAsia"/>
          <w:b/>
          <w:sz w:val="32"/>
          <w:szCs w:val="32"/>
          <w:lang w:eastAsia="zh-CN"/>
        </w:rPr>
        <w:t>绩效</w:t>
      </w:r>
      <w:r>
        <w:rPr>
          <w:rFonts w:ascii="Times New Roman" w:eastAsia="方正仿宋_GBK" w:cs="Times New Roman" w:hAnsi="Times New Roman"/>
          <w:b/>
          <w:sz w:val="32"/>
          <w:szCs w:val="32"/>
        </w:rPr>
        <w:t>目标：</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hint="eastAsia"/>
          <w:sz w:val="32"/>
        </w:rPr>
      </w:pPr>
      <w:r>
        <w:rPr>
          <w:rFonts w:ascii="仿宋" w:eastAsia="仿宋" w:hAnsi="仿宋" w:hint="eastAsia"/>
          <w:sz w:val="32"/>
        </w:rPr>
        <w:t>贯彻落实党中央、国务院关于行政管理体制机构编制管理的政策和省、市地方性法规草案并监督实施；促进政府职能转变，积极构建科学的行政管理体制；健全政府职责体系，完善公共服务体系。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hint="eastAsia"/>
          <w:sz w:val="32"/>
        </w:rPr>
      </w:pPr>
      <w:r>
        <w:rPr>
          <w:rFonts w:ascii="仿宋" w:eastAsia="仿宋" w:hAnsi="仿宋" w:hint="eastAsia"/>
          <w:sz w:val="32"/>
        </w:rPr>
        <w:t>按照县委、县政府及上级业务主管部门安排部署，围绕中心，服务大局，主动适应新常态，坚持问题导向，进一步更新工作观念，转变工作作风，创新工作方法，继续深化行政审批制度改革，加快推进政府职能转变和机构改革，积极稳妥推进事业单位分类改革，严格控制和优化配置机构编制资源，着力加强自身建设，为加快转型升级、跨越赶超步伐，全面建设幸福深泽提供强有力的体制机制保障。</w:t>
      </w:r>
    </w:p>
    <w:p>
      <w:pPr>
        <w:jc w:val="left"/>
        <w:rPr>
          <w:rFonts w:ascii="方正楷体_GBK" w:eastAsia="方正楷体_GBK"/>
          <w:b/>
          <w:sz w:val="28"/>
        </w:rPr>
      </w:pPr>
      <w:r>
        <w:rPr>
          <w:rFonts w:ascii="方正楷体_GBK" w:eastAsia="方正楷体_GBK" w:hint="eastAsia"/>
          <w:b/>
          <w:sz w:val="28"/>
        </w:rPr>
        <w:t xml:space="preserve">    </w:t>
      </w:r>
      <w:r>
        <w:rPr>
          <w:rFonts w:ascii="Times New Roman" w:eastAsia="方正仿宋_GBK" w:cs="Times New Roman" w:hAnsi="Times New Roman" w:hint="eastAsia"/>
          <w:b/>
          <w:sz w:val="32"/>
          <w:szCs w:val="32"/>
        </w:rPr>
        <w:t>职责分类绩效目标：</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hint="eastAsia"/>
          <w:sz w:val="32"/>
        </w:rPr>
      </w:pPr>
      <w:r>
        <w:rPr>
          <w:rFonts w:ascii="仿宋" w:eastAsia="仿宋" w:hAnsi="仿宋" w:hint="eastAsia"/>
          <w:sz w:val="32"/>
        </w:rPr>
        <w:t>行政管理体制改革绩效目标：贯彻落实党中央、国务院关于行政管理体制机构编制管理的政策和省、市地方性法规草案并监督实施。建设服务型政府，着力转变职能、理顺关系、优化结构、提高效能，形成权责一致、分工合理、决策科学、执行顺畅、监督有力的行政管理体制。健全政府职责体系，完善公共服务体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hint="eastAsia"/>
          <w:sz w:val="32"/>
        </w:rPr>
      </w:pPr>
      <w:r>
        <w:rPr>
          <w:rFonts w:ascii="仿宋" w:eastAsia="仿宋" w:hAnsi="仿宋" w:hint="eastAsia"/>
          <w:sz w:val="32"/>
        </w:rPr>
        <w:t xml:space="preserve">    机构编制管理绩效目标：审核或审批县委、县政府、人大、政协、法院、检察院机关，人民团体机关的机构编制管理事宜；负责全县事业单位法人登记管理和监督检查工作。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hint="eastAsia"/>
          <w:sz w:val="32"/>
        </w:rPr>
      </w:pPr>
      <w:r>
        <w:rPr>
          <w:rFonts w:ascii="仿宋" w:eastAsia="仿宋" w:hAnsi="仿宋" w:hint="eastAsia"/>
          <w:sz w:val="32"/>
        </w:rPr>
        <w:t>促进政府职能转变绩效目标：强化社会管理和公共服务。加快推进政企分开、政资分开、政事分开、政府与市场中介组织分开，规范行政行为，加强行政执法部门建设，减少和规范行政审批，减少政府对微观经济运行的干预。</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hint="eastAsia"/>
          <w:sz w:val="32"/>
        </w:rPr>
      </w:pPr>
      <w:r>
        <w:rPr>
          <w:rFonts w:ascii="仿宋" w:eastAsia="仿宋" w:hAnsi="仿宋" w:hint="eastAsia"/>
          <w:sz w:val="32"/>
        </w:rPr>
        <w:t>编办事务管理绩效目标：加强机关党组织建设，严格组织生活制度，丰富党建活动内容，做好党员发展、教育、管理和党务干部的教育培训工作，充分发挥党组织的战斗堡垒作用和党员的先锋模范作用。</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cs="仿宋_GB2312" w:hAnsi="仿宋_GB2312"/>
          <w:b/>
          <w:bCs/>
          <w:sz w:val="32"/>
          <w:szCs w:val="32"/>
        </w:rPr>
      </w:pPr>
      <w:r>
        <w:rPr>
          <w:rFonts w:ascii="仿宋_GB2312" w:eastAsia="仿宋_GB2312" w:cs="仿宋_GB2312" w:hAnsi="仿宋_GB2312" w:hint="eastAsia"/>
          <w:b/>
          <w:bCs/>
          <w:sz w:val="32"/>
          <w:szCs w:val="32"/>
        </w:rPr>
        <w:t>实现年度发展规划目标的保障措施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hint="eastAsia"/>
          <w:sz w:val="32"/>
        </w:rPr>
      </w:pPr>
      <w:bookmarkStart w:id="2" w:name="_Toc504692478"/>
      <w:r>
        <w:rPr>
          <w:rFonts w:ascii="仿宋" w:eastAsia="仿宋" w:hAnsi="仿宋" w:hint="eastAsia"/>
          <w:sz w:val="32"/>
        </w:rPr>
        <w:t>贯彻落实党中央、国务院关于行政管理体制机构编制管理的政策和省、市地方性法规草案并监督实施；促进政府职能转变，积极构建科学的行政管理体制；健全政府职责体系，完善公共服务体系。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hint="eastAsia"/>
          <w:sz w:val="32"/>
        </w:rPr>
      </w:pPr>
      <w:r>
        <w:rPr>
          <w:rFonts w:ascii="仿宋" w:eastAsia="仿宋" w:hAnsi="仿宋" w:hint="eastAsia"/>
          <w:sz w:val="32"/>
        </w:rPr>
        <w:t xml:space="preserve">    (一）强化社会管理和公共服务。加快推进政企分开、政资分开、政事分开、政府与市场中介组织分开，规范行政行为，加强行政执法部门建设，减少和规范行政审批，减少政府对微观经济运行的干预。</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hint="eastAsia"/>
          <w:sz w:val="32"/>
        </w:rPr>
      </w:pPr>
      <w:r>
        <w:rPr>
          <w:rFonts w:ascii="仿宋" w:eastAsia="仿宋" w:hAnsi="仿宋" w:hint="eastAsia"/>
          <w:sz w:val="32"/>
        </w:rPr>
        <w:t>（二）加强自身能力建设，提高参谋服务水平。认真组织学习党的十九大精神，改进工作作风，提升干部队伍素质，切实增强大局意识、责任意识、执行意识、服务意识和忧患意识，不断增强编办的凝聚力、战斗力。</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hint="eastAsia"/>
          <w:sz w:val="32"/>
        </w:rPr>
      </w:pPr>
      <w:r>
        <w:rPr>
          <w:rFonts w:ascii="仿宋" w:eastAsia="仿宋" w:hAnsi="仿宋" w:hint="eastAsia"/>
          <w:sz w:val="32"/>
        </w:rPr>
        <w:t>（三）加强制度建设，形成以制度管人、按制度办事的运行格局，切实抓好相关制度的贯彻落实。</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cs="仿宋_GB2312" w:hAnsi="仿宋_GB2312"/>
          <w:sz w:val="32"/>
          <w:szCs w:val="32"/>
        </w:rPr>
      </w:pPr>
      <w:r>
        <w:rPr>
          <w:rFonts w:ascii="仿宋" w:eastAsia="仿宋" w:hAnsi="仿宋" w:hint="eastAsia"/>
          <w:sz w:val="32"/>
        </w:rPr>
        <w:t>（四）完善协调配合工作机制，提升综合管理水平。加强与组织、人社、财政等部门的协调配合，推进机构编制资源共享。</w:t>
      </w:r>
    </w:p>
    <w:p>
      <w:pPr>
        <w:jc w:val="center"/>
        <w:outlineLvl w:val="0"/>
        <w:rPr>
          <w:rFonts w:ascii="方正小标宋_GBK" w:eastAsia="方正小标宋_GBK" w:hint="eastAsia"/>
          <w:sz w:val="32"/>
        </w:rPr>
      </w:pPr>
    </w:p>
    <w:p>
      <w:pPr>
        <w:jc w:val="center"/>
        <w:outlineLvl w:val="0"/>
        <w:rPr>
          <w:rFonts w:ascii="方正小标宋_GBK" w:eastAsia="方正小标宋_GBK"/>
          <w:sz w:val="32"/>
        </w:rPr>
      </w:pPr>
      <w:r>
        <w:rPr>
          <w:rFonts w:ascii="方正小标宋_GBK" w:eastAsia="方正小标宋_GBK" w:hint="eastAsia"/>
          <w:sz w:val="32"/>
        </w:rPr>
        <w:t>部门职责-工作活动绩效目标</w:t>
      </w:r>
      <w:bookmarkEnd w:id="2"/>
    </w:p>
    <w:tbl>
      <w:tblPr>
        <w:jc w:val="center"/>
        <w:tblW w:w="139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rPr>
          <w:trHeight w:val="227"/>
          <w:tblHeader/>
        </w:trPr>
        <w:tc>
          <w:tcPr>
            <w:tcW w:w="10986" w:type="dxa"/>
            <w:gridSpan w:val="5"/>
            <w:tcBorders>
              <w:top w:val="single" w:sz="6" w:space="0" w:color="FFFFFF"/>
              <w:left w:val="single" w:sz="6" w:space="0" w:color="FFFFFF"/>
              <w:right w:val="single" w:sz="6" w:space="0" w:color="FFFFFF"/>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225</w:t>
            </w:r>
            <w:r>
              <w:rPr>
                <w:rFonts w:ascii="方正小标宋_GBK" w:eastAsia="方正小标宋_GBK" w:hint="eastAsia"/>
                <w:sz w:val="24"/>
                <w:lang w:eastAsia="zh-CN"/>
              </w:rPr>
              <w:t>中共</w:t>
            </w:r>
            <w:r>
              <w:rPr>
                <w:rFonts w:ascii="方正小标宋_GBK" w:eastAsia="方正小标宋_GBK" w:hint="eastAsia"/>
                <w:sz w:val="24"/>
              </w:rPr>
              <w:t>深泽县</w:t>
            </w:r>
            <w:r>
              <w:rPr>
                <w:rFonts w:ascii="方正小标宋_GBK" w:eastAsia="方正小标宋_GBK" w:hint="eastAsia"/>
                <w:sz w:val="24"/>
                <w:lang w:eastAsia="zh-CN"/>
              </w:rPr>
              <w:t>委</w:t>
            </w:r>
            <w:r>
              <w:rPr>
                <w:rFonts w:ascii="方正小标宋_GBK" w:eastAsia="方正小标宋_GBK" w:hint="eastAsia"/>
                <w:sz w:val="24"/>
              </w:rPr>
              <w:t>机构编制委员会办公室</w:t>
            </w:r>
          </w:p>
        </w:tc>
        <w:tc>
          <w:tcPr>
            <w:tcW w:w="2948" w:type="dxa"/>
            <w:gridSpan w:val="4"/>
            <w:tcBorders>
              <w:top w:val="single" w:sz="6" w:space="0" w:color="FFFFFF"/>
              <w:left w:val="single" w:sz="6" w:space="0" w:color="FFFFFF"/>
              <w:right w:val="single" w:sz="6" w:space="0" w:color="FFFFFF"/>
            </w:tcBorders>
            <w:shd w:val="clear" w:color="auto" w:fill="auto"/>
            <w:vAlign w:val="center"/>
          </w:tcPr>
          <w:p>
            <w:pPr>
              <w:spacing w:line="300" w:lineRule="exact"/>
              <w:jc w:val="right"/>
              <w:rPr>
                <w:rFonts w:ascii="方正书宋_GBK" w:eastAsia="方正书宋_GBK"/>
                <w:sz w:val="24"/>
              </w:rPr>
            </w:pPr>
            <w:r>
              <w:rPr>
                <w:rFonts w:ascii="方正书宋_GBK" w:eastAsia="方正书宋_GBK" w:hint="eastAsia"/>
                <w:sz w:val="24"/>
              </w:rPr>
              <w:t>单位：万元</w:t>
            </w:r>
          </w:p>
        </w:tc>
      </w:tr>
      <w:tr>
        <w:trPr>
          <w:trHeight w:val="227"/>
          <w:tblHeader/>
        </w:trPr>
        <w:tc>
          <w:tcPr>
            <w:tcW w:w="2341"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评价标准</w:t>
            </w:r>
          </w:p>
        </w:tc>
      </w:tr>
      <w:tr>
        <w:trPr>
          <w:trHeight w:val="227"/>
          <w:tblHeader/>
        </w:trPr>
        <w:tc>
          <w:tcPr>
            <w:tcW w:w="2341" w:type="dxa"/>
            <w:vMerge/>
            <w:tcBorders>
              <w:top w:val="single" w:sz="6" w:space="0" w:color="000000"/>
              <w:left w:val="single" w:sz="6" w:space="0" w:color="000000"/>
              <w:right w:val="single" w:sz="6" w:space="0" w:color="000000"/>
            </w:tcBorders>
            <w:shd w:val="clear" w:color="auto" w:fill="auto"/>
            <w:vAlign w:val="center"/>
          </w:tcPr>
          <w:p/>
        </w:tc>
        <w:tc>
          <w:tcPr>
            <w:tcW w:w="1276" w:type="dxa"/>
            <w:vMerge/>
            <w:tcBorders>
              <w:top w:val="single" w:sz="6" w:space="0" w:color="000000"/>
              <w:left w:val="single" w:sz="6" w:space="0" w:color="000000"/>
              <w:right w:val="single" w:sz="6" w:space="0" w:color="000000"/>
            </w:tcBorders>
            <w:shd w:val="clear" w:color="auto" w:fill="auto"/>
            <w:vAlign w:val="center"/>
          </w:tcPr>
          <w:p/>
        </w:tc>
        <w:tc>
          <w:tcPr>
            <w:tcW w:w="2976" w:type="dxa"/>
            <w:vMerge/>
            <w:tcBorders>
              <w:top w:val="single" w:sz="6" w:space="0" w:color="000000"/>
              <w:left w:val="single" w:sz="6" w:space="0" w:color="000000"/>
              <w:right w:val="single" w:sz="6" w:space="0" w:color="000000"/>
            </w:tcBorders>
            <w:shd w:val="clear" w:color="auto" w:fill="auto"/>
            <w:vAlign w:val="center"/>
          </w:tcPr>
          <w:p/>
        </w:tc>
        <w:tc>
          <w:tcPr>
            <w:tcW w:w="2976" w:type="dxa"/>
            <w:vMerge/>
            <w:tcBorders>
              <w:top w:val="single" w:sz="6" w:space="0" w:color="000000"/>
              <w:left w:val="single" w:sz="6" w:space="0" w:color="000000"/>
              <w:right w:val="single" w:sz="6" w:space="0" w:color="000000"/>
            </w:tcBorders>
            <w:shd w:val="clear" w:color="auto" w:fill="auto"/>
            <w:vAlign w:val="center"/>
          </w:tcPr>
          <w:p/>
        </w:tc>
        <w:tc>
          <w:tcPr>
            <w:tcW w:w="1417" w:type="dxa"/>
            <w:vMerge/>
            <w:tcBorders>
              <w:top w:val="single" w:sz="6" w:space="0" w:color="000000"/>
              <w:left w:val="single" w:sz="6" w:space="0" w:color="000000"/>
              <w:right w:val="single" w:sz="6" w:space="0" w:color="000000"/>
            </w:tcBorders>
            <w:shd w:val="clear" w:color="auto" w:fill="auto"/>
            <w:vAlign w:val="center"/>
          </w:tc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优</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良</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中</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差</w:t>
            </w:r>
          </w:p>
        </w:tc>
      </w:tr>
      <w:tr>
        <w:trPr>
          <w:trHeight w:val="227"/>
        </w:trPr>
        <w:tc>
          <w:tcPr>
            <w:tcW w:w="234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lang w:eastAsia="zh-CN"/>
              </w:rPr>
              <w:t>一、</w:t>
            </w:r>
            <w:r>
              <w:rPr>
                <w:rFonts w:ascii="方正书宋_GBK" w:eastAsia="方正书宋_GBK" w:hint="eastAsia"/>
                <w:b/>
              </w:rPr>
              <w:t>行政管理体制改革</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贯彻落实党中央、国务院关于行政管理体制机构编制管理的政策和省、市地方性法规草案并监督实施；促进政府职能转变，积极构建科学的行政管理体制；健全政府职责体系，完善公共服务体系。</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贯彻落实党中央、国务院关于行政管理体制机构编制管理的政策和省、市地方性法规草案并监督实施。建设服务型政府，着力转变职能、理顺关系、优化结构、提高效能，形成权责一致、分工合理、决策科学、执行顺畅、监督有力的行政管理体制。健全政府职责体系，完善公共服务体系</w:t>
            </w:r>
            <w:r>
              <w:rPr>
                <w:rFonts w:ascii="方正书宋_GBK" w:eastAsia="方正书宋_GBK"/>
              </w:rPr>
              <w:t>.</w:t>
            </w: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r>
      <w:tr>
        <w:trPr>
          <w:trHeight w:val="227"/>
        </w:trPr>
        <w:tc>
          <w:tcPr>
            <w:tcW w:w="234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　</w:t>
            </w:r>
            <w:r>
              <w:rPr>
                <w:rFonts w:ascii="方正书宋_GBK" w:eastAsia="方正书宋_GBK" w:hint="eastAsia"/>
                <w:b/>
                <w:lang w:val="en-US" w:eastAsia="zh-CN"/>
              </w:rPr>
              <w:t>1、</w:t>
            </w:r>
            <w:r>
              <w:rPr>
                <w:rFonts w:ascii="方正书宋_GBK" w:eastAsia="方正书宋_GBK" w:hint="eastAsia"/>
                <w:b/>
              </w:rPr>
              <w:t>　行政单位管理体制和机构改革</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拟定县委、县政府机构改革方案；审核管理县委、县政府各部门职能配置、机构设置、人员编制和领导职数；审核各乡镇政府行政管理体制和机构改革方案；审核管理全县各级各类人员编制总额；协调各乡镇、功能园区体制改革和机构改革以及机构编制管理工作。</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推进县政府机构改革</w:t>
            </w:r>
            <w:r>
              <w:rPr>
                <w:rFonts w:ascii="方正书宋_GBK" w:eastAsia="方正书宋_GBK"/>
              </w:rPr>
              <w:t>,</w:t>
            </w:r>
            <w:r>
              <w:rPr>
                <w:rFonts w:ascii="方正书宋_GBK" w:eastAsia="方正书宋_GBK" w:hint="eastAsia"/>
              </w:rPr>
              <w:t>党群政法部门体制改革</w:t>
            </w:r>
            <w:r>
              <w:rPr>
                <w:rFonts w:ascii="方正书宋_GBK" w:eastAsia="方正书宋_GBK"/>
              </w:rPr>
              <w:t>,</w:t>
            </w:r>
            <w:r>
              <w:rPr>
                <w:rFonts w:ascii="方正书宋_GBK" w:eastAsia="方正书宋_GBK" w:hint="eastAsia"/>
              </w:rPr>
              <w:t>乡镇行政体制改革</w:t>
            </w:r>
            <w:r>
              <w:rPr>
                <w:rFonts w:ascii="方正书宋_GBK" w:eastAsia="方正书宋_GBK"/>
              </w:rPr>
              <w:t>,</w:t>
            </w:r>
            <w:r>
              <w:rPr>
                <w:rFonts w:ascii="方正书宋_GBK" w:eastAsia="方正书宋_GBK" w:hint="eastAsia"/>
              </w:rPr>
              <w:t>功能园区管理体制机制改革。</w:t>
            </w: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行政改革目标完成率</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rPr>
          <w:trHeight w:val="227"/>
        </w:trPr>
        <w:tc>
          <w:tcPr>
            <w:tcW w:w="234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　　</w:t>
            </w:r>
            <w:r>
              <w:rPr>
                <w:rFonts w:ascii="方正书宋_GBK" w:eastAsia="方正书宋_GBK" w:hint="eastAsia"/>
                <w:b/>
                <w:lang w:val="en-US" w:eastAsia="zh-CN"/>
              </w:rPr>
              <w:t>2、</w:t>
            </w:r>
            <w:r>
              <w:rPr>
                <w:rFonts w:ascii="方正书宋_GBK" w:eastAsia="方正书宋_GBK" w:hint="eastAsia"/>
                <w:b/>
              </w:rPr>
              <w:t>事业单位管理体制和机构改革</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做好事业单位分类工作；做好各部门所属事业单位分类改革工作；规范事业单位台账管理。</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扎实推进事业单位分类改革</w:t>
            </w:r>
            <w:r>
              <w:rPr>
                <w:rFonts w:ascii="方正书宋_GBK" w:eastAsia="方正书宋_GBK"/>
              </w:rPr>
              <w:t>,</w:t>
            </w:r>
            <w:r>
              <w:rPr>
                <w:rFonts w:ascii="方正书宋_GBK" w:eastAsia="方正书宋_GBK" w:hint="eastAsia"/>
              </w:rPr>
              <w:t>扎实推进事业单位法人治理结构试点工作。</w:t>
            </w: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事业改革目标完成率</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rPr>
          <w:trHeight w:val="227"/>
        </w:trPr>
        <w:tc>
          <w:tcPr>
            <w:tcW w:w="234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lang w:eastAsia="zh-CN"/>
              </w:rPr>
              <w:t>二、</w:t>
            </w:r>
            <w:r>
              <w:rPr>
                <w:rFonts w:ascii="方正书宋_GBK" w:eastAsia="方正书宋_GBK" w:hint="eastAsia"/>
                <w:b/>
              </w:rPr>
              <w:t>机构编制管理</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审核或审批县委、县政府，人大、政协、法院、检察院机关，人民团体机关的机构编制管理事宜；负责全县事业单位法人登记管理和监督检查工作。</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审核或审批县委、县政府、人大、政协、法院、检察院机关，人民团体机关的机构编制管理事宜；负责全县事业单位法人登记管理和监督检查工作。</w:t>
            </w: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r>
      <w:tr>
        <w:trPr>
          <w:trHeight w:val="227"/>
        </w:trPr>
        <w:tc>
          <w:tcPr>
            <w:tcW w:w="234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　</w:t>
            </w:r>
            <w:r>
              <w:rPr>
                <w:rFonts w:ascii="方正书宋_GBK" w:eastAsia="方正书宋_GBK" w:hint="eastAsia"/>
                <w:b/>
                <w:lang w:val="en-US" w:eastAsia="zh-CN"/>
              </w:rPr>
              <w:t>1、</w:t>
            </w:r>
            <w:r>
              <w:rPr>
                <w:rFonts w:ascii="方正书宋_GBK" w:eastAsia="方正书宋_GBK" w:hint="eastAsia"/>
                <w:b/>
              </w:rPr>
              <w:t>　机构编制监管</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开展机构编制实名制及人员编制使用情况核准，机构编制执行情况跟踪评估和监督检查工作；指导全县党政群机关、事业单位和其他非营利性单位网上名称管理工作。</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全面推行实名制管理和编制使用核准。</w:t>
            </w: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实名制管理推行率</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rPr>
          <w:trHeight w:val="227"/>
        </w:trPr>
        <w:tc>
          <w:tcPr>
            <w:tcW w:w="234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　</w:t>
            </w:r>
            <w:r>
              <w:rPr>
                <w:rFonts w:ascii="方正书宋_GBK" w:eastAsia="方正书宋_GBK" w:hint="eastAsia"/>
                <w:b/>
                <w:lang w:val="en-US" w:eastAsia="zh-CN"/>
              </w:rPr>
              <w:t>2、</w:t>
            </w:r>
            <w:r>
              <w:rPr>
                <w:rFonts w:ascii="方正书宋_GBK" w:eastAsia="方正书宋_GBK" w:hint="eastAsia"/>
                <w:b/>
              </w:rPr>
              <w:t>　机构编制标准化管理</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完成全县</w:t>
            </w:r>
            <w:r>
              <w:rPr>
                <w:rFonts w:ascii="方正书宋_GBK" w:eastAsia="方正书宋_GBK"/>
              </w:rPr>
              <w:t>2015</w:t>
            </w:r>
            <w:r>
              <w:rPr>
                <w:rFonts w:ascii="方正书宋_GBK" w:eastAsia="方正书宋_GBK" w:hint="eastAsia"/>
              </w:rPr>
              <w:t>年度机构编制统计上报工作。</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加强机构编制标准化管理，确保完成全县</w:t>
            </w:r>
            <w:r>
              <w:rPr>
                <w:rFonts w:ascii="方正书宋_GBK" w:eastAsia="方正书宋_GBK"/>
              </w:rPr>
              <w:t>2015</w:t>
            </w:r>
            <w:r>
              <w:rPr>
                <w:rFonts w:ascii="方正书宋_GBK" w:eastAsia="方正书宋_GBK" w:hint="eastAsia"/>
              </w:rPr>
              <w:t>年度机构编制统计上报工作，。</w:t>
            </w: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统计上报工作完成率</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rPr>
          <w:trHeight w:val="227"/>
        </w:trPr>
        <w:tc>
          <w:tcPr>
            <w:tcW w:w="234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　</w:t>
            </w:r>
            <w:r>
              <w:rPr>
                <w:rFonts w:ascii="方正书宋_GBK" w:eastAsia="方正书宋_GBK" w:hint="eastAsia"/>
                <w:b/>
                <w:lang w:val="en-US" w:eastAsia="zh-CN"/>
              </w:rPr>
              <w:t>3、</w:t>
            </w:r>
            <w:r>
              <w:rPr>
                <w:rFonts w:ascii="方正书宋_GBK" w:eastAsia="方正书宋_GBK" w:hint="eastAsia"/>
                <w:b/>
              </w:rPr>
              <w:t>　事业单位法人登记管理</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负责全县事业单位法人登记管理和监督检查工作。</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加强完善事业单位登记管理工作。</w:t>
            </w: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事业单位登记管理率</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rPr>
          <w:trHeight w:val="227"/>
        </w:trPr>
        <w:tc>
          <w:tcPr>
            <w:tcW w:w="234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lang w:eastAsia="zh-CN"/>
              </w:rPr>
              <w:t>三、</w:t>
            </w:r>
            <w:r>
              <w:rPr>
                <w:rFonts w:ascii="方正书宋_GBK" w:eastAsia="方正书宋_GBK" w:hint="eastAsia"/>
                <w:b/>
              </w:rPr>
              <w:t>促进政府职能转变</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r>
      <w:tr>
        <w:trPr>
          <w:trHeight w:val="227"/>
        </w:trPr>
        <w:tc>
          <w:tcPr>
            <w:tcW w:w="234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　　</w:t>
            </w:r>
            <w:r>
              <w:rPr>
                <w:rFonts w:ascii="方正书宋_GBK" w:eastAsia="方正书宋_GBK" w:hint="eastAsia"/>
                <w:b/>
                <w:lang w:val="en-US" w:eastAsia="zh-CN"/>
              </w:rPr>
              <w:t>1、</w:t>
            </w:r>
            <w:r>
              <w:rPr>
                <w:rFonts w:ascii="方正书宋_GBK" w:eastAsia="方正书宋_GBK" w:hint="eastAsia"/>
                <w:b/>
              </w:rPr>
              <w:t>政府购买行业协会服务工作</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按照省、市制定的政府转移职能目录、购买主体单位目录，及时完成</w:t>
            </w:r>
            <w:r>
              <w:rPr>
                <w:rFonts w:ascii="方正书宋_GBK" w:eastAsia="方正书宋_GBK"/>
              </w:rPr>
              <w:t>2016</w:t>
            </w:r>
            <w:r>
              <w:rPr>
                <w:rFonts w:ascii="方正书宋_GBK" w:eastAsia="方正书宋_GBK" w:hint="eastAsia"/>
              </w:rPr>
              <w:t>年政府购买行业协会临时性服务工作。</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按照省、市制定的政府转移职能目录、购买主体单位目录</w:t>
            </w:r>
            <w:r>
              <w:rPr>
                <w:rFonts w:ascii="方正书宋_GBK" w:eastAsia="方正书宋_GBK"/>
              </w:rPr>
              <w:t>,</w:t>
            </w:r>
            <w:r>
              <w:rPr>
                <w:rFonts w:ascii="方正书宋_GBK" w:eastAsia="方正书宋_GBK" w:hint="eastAsia"/>
              </w:rPr>
              <w:t>及时完成</w:t>
            </w:r>
            <w:r>
              <w:rPr>
                <w:rFonts w:ascii="方正书宋_GBK" w:eastAsia="方正书宋_GBK"/>
              </w:rPr>
              <w:t>2016</w:t>
            </w:r>
            <w:r>
              <w:rPr>
                <w:rFonts w:ascii="方正书宋_GBK" w:eastAsia="方正书宋_GBK" w:hint="eastAsia"/>
              </w:rPr>
              <w:t>年政府购买行业协会临时性服务工作。</w:t>
            </w: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政府购买服务推广率</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rPr>
          <w:trHeight w:val="227"/>
        </w:trPr>
        <w:tc>
          <w:tcPr>
            <w:tcW w:w="234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　　</w:t>
            </w:r>
            <w:r>
              <w:rPr>
                <w:rFonts w:ascii="方正书宋_GBK" w:eastAsia="方正书宋_GBK" w:hint="eastAsia"/>
                <w:b/>
                <w:lang w:val="en-US" w:eastAsia="zh-CN"/>
              </w:rPr>
              <w:t>2、</w:t>
            </w:r>
            <w:r>
              <w:rPr>
                <w:rFonts w:ascii="方正书宋_GBK" w:eastAsia="方正书宋_GBK" w:hint="eastAsia"/>
                <w:b/>
              </w:rPr>
              <w:t>行政审批改革</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全面清理县内行政审批项目。进一步优化行政审批流程。加强审改工作制度化、规范化和标准化建设。</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进一步优化行政审批流程</w:t>
            </w:r>
            <w:r>
              <w:rPr>
                <w:rFonts w:ascii="方正书宋_GBK" w:eastAsia="方正书宋_GBK"/>
              </w:rPr>
              <w:t>,</w:t>
            </w:r>
            <w:r>
              <w:rPr>
                <w:rFonts w:ascii="方正书宋_GBK" w:eastAsia="方正书宋_GBK" w:hint="eastAsia"/>
              </w:rPr>
              <w:t>加强审改工作制度化、规范化和标准化建设。</w:t>
            </w: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行政审批项目清理工作的完成率</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rPr>
          <w:trHeight w:val="227"/>
        </w:trPr>
        <w:tc>
          <w:tcPr>
            <w:tcW w:w="234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lang w:eastAsia="zh-CN"/>
              </w:rPr>
              <w:t>四、</w:t>
            </w:r>
            <w:r>
              <w:rPr>
                <w:rFonts w:ascii="方正书宋_GBK" w:eastAsia="方正书宋_GBK" w:hint="eastAsia"/>
                <w:b/>
              </w:rPr>
              <w:t>编办事务管理</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做好机关人员管理及保障工作，为充分发挥职能作用提供有效保障。</w:t>
            </w:r>
          </w:p>
        </w:tc>
        <w:tc>
          <w:tcPr>
            <w:tcW w:w="29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加强机关党组织建设，严格组织生活制度，丰富党建活动内容，做好党员发展、教育、管理和党务干部的教育培训工作，充分发挥党组织的战斗堡垒作用和党员的先锋模范作用。</w:t>
            </w: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r>
      <w:tr>
        <w:trPr>
          <w:trHeight w:val="227"/>
        </w:trPr>
        <w:tc>
          <w:tcPr>
            <w:tcW w:w="2341"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　　</w:t>
            </w:r>
            <w:r>
              <w:rPr>
                <w:rFonts w:ascii="方正书宋_GBK" w:eastAsia="方正书宋_GBK" w:hint="eastAsia"/>
                <w:b/>
                <w:lang w:val="en-US" w:eastAsia="zh-CN"/>
              </w:rPr>
              <w:t>1、</w:t>
            </w:r>
            <w:r>
              <w:rPr>
                <w:rFonts w:ascii="方正书宋_GBK" w:eastAsia="方正书宋_GBK" w:hint="eastAsia"/>
                <w:b/>
              </w:rPr>
              <w:t>综合事务管理</w:t>
            </w:r>
          </w:p>
        </w:tc>
        <w:tc>
          <w:tcPr>
            <w:tcW w:w="1276"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p>
        </w:tc>
        <w:tc>
          <w:tcPr>
            <w:tcW w:w="2976"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负责全县机构编制信息管理系统、电子政务的建设和管理，全县机构编制统计、数据分析工作；负责机关人事、劳资、行政后勤、财务和资产管理工作。</w:t>
            </w:r>
          </w:p>
        </w:tc>
        <w:tc>
          <w:tcPr>
            <w:tcW w:w="2976"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机构编制信息平台运行。</w:t>
            </w: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各项综合事务工作完成情况</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rPr>
          <w:trHeight w:val="227"/>
        </w:trPr>
        <w:tc>
          <w:tcPr>
            <w:tcW w:w="2341" w:type="dxa"/>
            <w:vMerge/>
            <w:tcBorders>
              <w:top w:val="single" w:sz="6" w:space="0" w:color="000000"/>
              <w:left w:val="single" w:sz="6" w:space="0" w:color="000000"/>
              <w:right w:val="single" w:sz="6" w:space="0" w:color="000000"/>
            </w:tcBorders>
            <w:shd w:val="clear" w:color="auto" w:fill="auto"/>
            <w:vAlign w:val="center"/>
          </w:tcPr>
          <w:p/>
        </w:tc>
        <w:tc>
          <w:tcPr>
            <w:tcW w:w="1276" w:type="dxa"/>
            <w:vMerge/>
            <w:tcBorders>
              <w:top w:val="single" w:sz="6" w:space="0" w:color="000000"/>
              <w:left w:val="single" w:sz="6" w:space="0" w:color="000000"/>
              <w:right w:val="single" w:sz="6" w:space="0" w:color="000000"/>
            </w:tcBorders>
            <w:shd w:val="clear" w:color="auto" w:fill="auto"/>
            <w:vAlign w:val="center"/>
          </w:tcPr>
          <w:p/>
        </w:tc>
        <w:tc>
          <w:tcPr>
            <w:tcW w:w="2976" w:type="dxa"/>
            <w:vMerge/>
            <w:tcBorders>
              <w:top w:val="single" w:sz="6" w:space="0" w:color="000000"/>
              <w:left w:val="single" w:sz="6" w:space="0" w:color="000000"/>
              <w:right w:val="single" w:sz="6" w:space="0" w:color="000000"/>
            </w:tcBorders>
            <w:shd w:val="clear" w:color="auto" w:fill="auto"/>
            <w:vAlign w:val="center"/>
          </w:tcPr>
          <w:p/>
        </w:tc>
        <w:tc>
          <w:tcPr>
            <w:tcW w:w="2976" w:type="dxa"/>
            <w:vMerge/>
            <w:tcBorders>
              <w:top w:val="single" w:sz="6" w:space="0" w:color="000000"/>
              <w:left w:val="single" w:sz="6" w:space="0" w:color="000000"/>
              <w:right w:val="single" w:sz="6" w:space="0" w:color="000000"/>
            </w:tcBorders>
            <w:shd w:val="clear" w:color="auto" w:fill="auto"/>
            <w:vAlign w:val="center"/>
          </w:tcPr>
          <w:p/>
        </w:tc>
        <w:tc>
          <w:tcPr>
            <w:tcW w:w="1417"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机构编制信息平台运行</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bl>
    <w:p>
      <w:pPr>
        <w:autoSpaceDE w:val="0"/>
        <w:autoSpaceDN w:val="0"/>
        <w:adjustRightInd w:val="0"/>
        <w:jc w:val="left"/>
        <w:rPr>
          <w:rFonts w:ascii="黑体" w:eastAsia="黑体" w:cs="Times New Roman" w:hAnsi="黑体"/>
          <w:sz w:val="32"/>
          <w:szCs w:val="32"/>
        </w:rPr>
      </w:pPr>
      <w:bookmarkEnd w:id="1"/>
      <w:r>
        <w:rPr>
          <w:rFonts w:ascii="黑体" w:eastAsia="黑体" w:cs="Times New Roman" w:hAnsi="黑体" w:hint="eastAsia"/>
          <w:sz w:val="32"/>
          <w:szCs w:val="32"/>
        </w:rPr>
        <w:t>六、政府采购预算情况</w:t>
      </w:r>
    </w:p>
    <w:p>
      <w:pPr>
        <w:ind w:firstLine="640"/>
        <w:outlineLvl w:val="0"/>
        <w:rPr>
          <w:rFonts w:ascii="仿宋" w:eastAsia="仿宋" w:cs="Times New Roman" w:hAnsi="仿宋" w:hint="eastAsia"/>
          <w:sz w:val="32"/>
          <w:szCs w:val="24"/>
        </w:rPr>
      </w:pPr>
      <w:bookmarkStart w:id="3" w:name="_Toc471398468"/>
      <w:r>
        <w:rPr>
          <w:rFonts w:ascii="仿宋" w:eastAsia="仿宋" w:cs="Times New Roman" w:hAnsi="仿宋" w:hint="eastAsia"/>
          <w:sz w:val="32"/>
          <w:szCs w:val="24"/>
        </w:rPr>
        <w:t>201</w:t>
      </w:r>
      <w:r>
        <w:rPr>
          <w:rFonts w:ascii="仿宋" w:eastAsia="仿宋" w:cs="Times New Roman" w:hAnsi="仿宋" w:hint="eastAsia"/>
          <w:sz w:val="32"/>
          <w:szCs w:val="24"/>
          <w:lang w:val="en-US" w:eastAsia="zh-CN"/>
        </w:rPr>
        <w:t>9</w:t>
      </w:r>
      <w:r>
        <w:rPr>
          <w:rFonts w:ascii="仿宋" w:eastAsia="仿宋" w:cs="Times New Roman" w:hAnsi="仿宋" w:hint="eastAsia"/>
          <w:sz w:val="32"/>
          <w:szCs w:val="24"/>
        </w:rPr>
        <w:t>年我单位没有安排政府采购预算，政府采购预算金额为0万元。</w:t>
      </w:r>
      <w:bookmarkEnd w:id="3"/>
    </w:p>
    <w:p>
      <w:pPr>
        <w:jc w:val="center"/>
        <w:outlineLvl w:val="0"/>
        <w:rPr>
          <w:rFonts w:ascii="仿宋_GB2312" w:eastAsia="仿宋_GB2312" w:cs="Times New Roman" w:hAnsi="黑体"/>
          <w:sz w:val="32"/>
          <w:szCs w:val="32"/>
        </w:rPr>
      </w:pPr>
      <w:r>
        <w:rPr>
          <w:rFonts w:ascii="方正小标宋_GBK" w:eastAsia="方正小标宋_GBK" w:cs="Times New Roman" w:hAnsi="Times New Roman" w:hint="eastAsia"/>
          <w:sz w:val="32"/>
          <w:szCs w:val="24"/>
        </w:rPr>
        <w:t>政府采购预算</w:t>
      </w:r>
      <w:r>
        <w:rPr>
          <w:rFonts w:ascii="方正小标宋_GBK" w:eastAsia="方正小标宋_GBK" w:cs="Times New Roman" w:hAnsi="Times New Roman" w:hint="eastAsia"/>
          <w:sz w:val="32"/>
          <w:szCs w:val="24"/>
          <w:lang w:eastAsia="zh-CN"/>
        </w:rPr>
        <w:t>情况表</w:t>
      </w:r>
    </w:p>
    <w:tbl>
      <w:tblPr>
        <w:jc w:val="center"/>
        <w:tblW w:w="134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585"/>
        <w:gridCol w:w="800"/>
        <w:gridCol w:w="1095"/>
        <w:gridCol w:w="1155"/>
        <w:gridCol w:w="675"/>
        <w:gridCol w:w="649"/>
        <w:gridCol w:w="885"/>
        <w:gridCol w:w="855"/>
        <w:gridCol w:w="840"/>
        <w:gridCol w:w="1185"/>
        <w:gridCol w:w="1020"/>
        <w:gridCol w:w="990"/>
        <w:gridCol w:w="870"/>
        <w:gridCol w:w="825"/>
      </w:tblGrid>
      <w:tr>
        <w:trPr>
          <w:tblHeader/>
        </w:trPr>
        <w:tc>
          <w:tcPr>
            <w:tcW w:w="6844" w:type="dxa"/>
            <w:gridSpan w:val="7"/>
            <w:tcBorders>
              <w:top w:val="single" w:sz="6" w:space="0" w:color="FFFFFF"/>
              <w:left w:val="single" w:sz="6" w:space="0" w:color="FFFFFF"/>
              <w:bottom w:val="single" w:sz="6" w:space="0" w:color="000000"/>
              <w:right w:val="single" w:sz="6" w:space="0" w:color="FFFFFF"/>
            </w:tcBorders>
            <w:vAlign w:val="center"/>
          </w:tcPr>
          <w:p>
            <w:pPr>
              <w:spacing w:line="300" w:lineRule="exact"/>
              <w:jc w:val="center"/>
              <w:rPr>
                <w:rFonts w:ascii="方正书宋_GBK" w:eastAsia="方正书宋_GBK" w:hint="eastAsia"/>
                <w:b/>
                <w:lang w:eastAsia="zh-CN"/>
              </w:rPr>
            </w:pPr>
            <w:r>
              <w:rPr>
                <w:rFonts w:ascii="方正书宋_GBK" w:eastAsia="方正书宋_GBK" w:hint="eastAsia"/>
                <w:b/>
                <w:lang w:val="en-US" w:eastAsia="zh-CN"/>
              </w:rPr>
              <w:t>225中共深泽县委机构编制委员会办公室</w:t>
            </w:r>
          </w:p>
        </w:tc>
        <w:tc>
          <w:tcPr>
            <w:tcW w:w="6585" w:type="dxa"/>
            <w:gridSpan w:val="7"/>
            <w:tcBorders>
              <w:top w:val="single" w:sz="6" w:space="0" w:color="FFFFFF"/>
              <w:left w:val="single" w:sz="6" w:space="0" w:color="FFFFFF"/>
              <w:bottom w:val="single" w:sz="6" w:space="0" w:color="000000"/>
              <w:right w:val="single" w:sz="6" w:space="0" w:color="FFFFFF"/>
            </w:tcBorders>
            <w:vAlign w:val="center"/>
          </w:tcPr>
          <w:p>
            <w:pPr>
              <w:spacing w:line="300" w:lineRule="exact"/>
              <w:jc w:val="center"/>
              <w:rPr>
                <w:rFonts w:ascii="方正书宋_GBK" w:eastAsia="方正书宋_GBK"/>
                <w:b/>
              </w:rPr>
            </w:pPr>
            <w:r>
              <w:rPr>
                <w:rFonts w:ascii="方正书宋_GBK" w:eastAsia="方正书宋_GBK" w:hint="eastAsia"/>
                <w:b/>
              </w:rPr>
              <w:t>单位：万元</w:t>
            </w:r>
          </w:p>
        </w:tc>
      </w:tr>
      <w:tr>
        <w:trPr>
          <w:tblHeader/>
        </w:trPr>
        <w:tc>
          <w:tcPr>
            <w:tcW w:w="2385"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政府采购项目来源</w:t>
            </w:r>
          </w:p>
        </w:tc>
        <w:tc>
          <w:tcPr>
            <w:tcW w:w="109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采购物品名称</w:t>
            </w:r>
          </w:p>
        </w:tc>
        <w:tc>
          <w:tcPr>
            <w:tcW w:w="115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政府采购</w:t>
            </w:r>
          </w:p>
        </w:tc>
        <w:tc>
          <w:tcPr>
            <w:tcW w:w="67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649"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数量</w:t>
            </w:r>
          </w:p>
        </w:tc>
        <w:tc>
          <w:tcPr>
            <w:tcW w:w="88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单价</w:t>
            </w:r>
          </w:p>
        </w:tc>
        <w:tc>
          <w:tcPr>
            <w:tcW w:w="6585" w:type="dxa"/>
            <w:gridSpan w:val="7"/>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政府采购金额</w:t>
            </w:r>
          </w:p>
        </w:tc>
      </w:tr>
      <w:tr>
        <w:trPr>
          <w:tblHeader/>
        </w:trPr>
        <w:tc>
          <w:tcPr>
            <w:tcW w:w="158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800"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预算资金</w:t>
            </w:r>
          </w:p>
        </w:tc>
        <w:tc>
          <w:tcPr>
            <w:tcW w:w="1095" w:type="dxa"/>
            <w:vMerge/>
            <w:tcBorders>
              <w:top w:val="single" w:sz="6" w:space="0" w:color="000000"/>
              <w:left w:val="single" w:sz="6" w:space="0" w:color="000000"/>
              <w:bottom w:val="single" w:sz="6" w:space="0" w:color="000000"/>
              <w:right w:val="single" w:sz="6" w:space="0" w:color="000000"/>
            </w:tcBorders>
            <w:vAlign w:val="center"/>
          </w:tcPr>
          <w:p/>
        </w:tc>
        <w:tc>
          <w:tcPr>
            <w:tcW w:w="1155" w:type="dxa"/>
            <w:vMerge/>
            <w:tcBorders>
              <w:top w:val="single" w:sz="6" w:space="0" w:color="000000"/>
              <w:left w:val="single" w:sz="6" w:space="0" w:color="000000"/>
              <w:bottom w:val="single" w:sz="6" w:space="0" w:color="000000"/>
              <w:right w:val="single" w:sz="6" w:space="0" w:color="000000"/>
            </w:tcBorders>
            <w:vAlign w:val="center"/>
          </w:tcPr>
          <w:p/>
        </w:tc>
        <w:tc>
          <w:tcPr>
            <w:tcW w:w="675" w:type="dxa"/>
            <w:vMerge/>
            <w:tcBorders>
              <w:top w:val="single" w:sz="6" w:space="0" w:color="000000"/>
              <w:left w:val="single" w:sz="6" w:space="0" w:color="000000"/>
              <w:bottom w:val="single" w:sz="6" w:space="0" w:color="000000"/>
              <w:right w:val="single" w:sz="6" w:space="0" w:color="000000"/>
            </w:tcBorders>
            <w:vAlign w:val="center"/>
          </w:tcPr>
          <w:p/>
        </w:tc>
        <w:tc>
          <w:tcPr>
            <w:tcW w:w="649" w:type="dxa"/>
            <w:vMerge/>
            <w:tcBorders>
              <w:top w:val="single" w:sz="6" w:space="0" w:color="000000"/>
              <w:left w:val="single" w:sz="6" w:space="0" w:color="000000"/>
              <w:bottom w:val="single" w:sz="6" w:space="0" w:color="000000"/>
              <w:right w:val="single" w:sz="6" w:space="0" w:color="000000"/>
            </w:tcBorders>
            <w:vAlign w:val="center"/>
          </w:tcPr>
          <w:p/>
        </w:tc>
        <w:tc>
          <w:tcPr>
            <w:tcW w:w="885" w:type="dxa"/>
            <w:vMerge/>
            <w:tcBorders>
              <w:top w:val="single" w:sz="6" w:space="0" w:color="000000"/>
              <w:left w:val="single" w:sz="6" w:space="0" w:color="000000"/>
              <w:bottom w:val="single" w:sz="6" w:space="0" w:color="000000"/>
              <w:right w:val="single" w:sz="6" w:space="0" w:color="000000"/>
            </w:tcBorders>
            <w:vAlign w:val="center"/>
          </w:tcPr>
          <w:p/>
        </w:tc>
        <w:tc>
          <w:tcPr>
            <w:tcW w:w="85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总计</w:t>
            </w:r>
          </w:p>
        </w:tc>
        <w:tc>
          <w:tcPr>
            <w:tcW w:w="4905" w:type="dxa"/>
            <w:gridSpan w:val="5"/>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当年部门预算安排资金</w:t>
            </w:r>
          </w:p>
        </w:tc>
        <w:tc>
          <w:tcPr>
            <w:tcW w:w="82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其他渠道资金</w:t>
            </w:r>
          </w:p>
        </w:tc>
      </w:tr>
      <w:tr>
        <w:trPr>
          <w:tblHeader/>
        </w:trPr>
        <w:tc>
          <w:tcPr>
            <w:tcW w:w="1585" w:type="dxa"/>
            <w:vMerge/>
            <w:tcBorders>
              <w:top w:val="single" w:sz="6" w:space="0" w:color="000000"/>
              <w:left w:val="single" w:sz="6" w:space="0" w:color="000000"/>
              <w:bottom w:val="single" w:sz="6" w:space="0" w:color="000000"/>
              <w:right w:val="single" w:sz="6" w:space="0" w:color="000000"/>
            </w:tcBorders>
            <w:vAlign w:val="center"/>
          </w:tcPr>
          <w:p/>
        </w:tc>
        <w:tc>
          <w:tcPr>
            <w:tcW w:w="800" w:type="dxa"/>
            <w:vMerge/>
            <w:tcBorders>
              <w:top w:val="single" w:sz="6" w:space="0" w:color="000000"/>
              <w:left w:val="single" w:sz="6" w:space="0" w:color="000000"/>
              <w:bottom w:val="single" w:sz="6" w:space="0" w:color="000000"/>
              <w:right w:val="single" w:sz="6" w:space="0" w:color="000000"/>
            </w:tcBorders>
            <w:vAlign w:val="center"/>
          </w:tcPr>
          <w:p/>
        </w:tc>
        <w:tc>
          <w:tcPr>
            <w:tcW w:w="1095" w:type="dxa"/>
            <w:vMerge/>
            <w:tcBorders>
              <w:top w:val="single" w:sz="6" w:space="0" w:color="000000"/>
              <w:left w:val="single" w:sz="6" w:space="0" w:color="000000"/>
              <w:bottom w:val="single" w:sz="6" w:space="0" w:color="000000"/>
              <w:right w:val="single" w:sz="6" w:space="0" w:color="000000"/>
            </w:tcBorders>
            <w:vAlign w:val="center"/>
          </w:tcPr>
          <w:p/>
        </w:tc>
        <w:tc>
          <w:tcPr>
            <w:tcW w:w="1155" w:type="dxa"/>
            <w:vMerge/>
            <w:tcBorders>
              <w:top w:val="single" w:sz="6" w:space="0" w:color="000000"/>
              <w:left w:val="single" w:sz="6" w:space="0" w:color="000000"/>
              <w:bottom w:val="single" w:sz="6" w:space="0" w:color="000000"/>
              <w:right w:val="single" w:sz="6" w:space="0" w:color="000000"/>
            </w:tcBorders>
            <w:vAlign w:val="center"/>
          </w:tcPr>
          <w:p/>
        </w:tc>
        <w:tc>
          <w:tcPr>
            <w:tcW w:w="675" w:type="dxa"/>
            <w:vMerge/>
            <w:tcBorders>
              <w:top w:val="single" w:sz="6" w:space="0" w:color="000000"/>
              <w:left w:val="single" w:sz="6" w:space="0" w:color="000000"/>
              <w:bottom w:val="single" w:sz="6" w:space="0" w:color="000000"/>
              <w:right w:val="single" w:sz="6" w:space="0" w:color="000000"/>
            </w:tcBorders>
            <w:vAlign w:val="center"/>
          </w:tcPr>
          <w:p/>
        </w:tc>
        <w:tc>
          <w:tcPr>
            <w:tcW w:w="649" w:type="dxa"/>
            <w:vMerge/>
            <w:tcBorders>
              <w:top w:val="single" w:sz="6" w:space="0" w:color="000000"/>
              <w:left w:val="single" w:sz="6" w:space="0" w:color="000000"/>
              <w:bottom w:val="single" w:sz="6" w:space="0" w:color="000000"/>
              <w:right w:val="single" w:sz="6" w:space="0" w:color="000000"/>
            </w:tcBorders>
            <w:vAlign w:val="center"/>
          </w:tcPr>
          <w:p/>
        </w:tc>
        <w:tc>
          <w:tcPr>
            <w:tcW w:w="885" w:type="dxa"/>
            <w:vMerge/>
            <w:tcBorders>
              <w:top w:val="single" w:sz="6" w:space="0" w:color="000000"/>
              <w:left w:val="single" w:sz="6" w:space="0" w:color="000000"/>
              <w:bottom w:val="single" w:sz="6" w:space="0" w:color="000000"/>
              <w:right w:val="single" w:sz="6" w:space="0" w:color="000000"/>
            </w:tcBorders>
            <w:vAlign w:val="center"/>
          </w:tcPr>
          <w:p/>
        </w:tc>
        <w:tc>
          <w:tcPr>
            <w:tcW w:w="855" w:type="dxa"/>
            <w:vMerge/>
            <w:tcBorders>
              <w:top w:val="single" w:sz="6" w:space="0" w:color="000000"/>
              <w:left w:val="single" w:sz="6" w:space="0" w:color="000000"/>
              <w:bottom w:val="single" w:sz="6" w:space="0" w:color="000000"/>
              <w:right w:val="single" w:sz="6" w:space="0" w:color="000000"/>
            </w:tcBorders>
            <w:vAlign w:val="center"/>
          </w:tcPr>
          <w:p/>
        </w:tc>
        <w:tc>
          <w:tcPr>
            <w:tcW w:w="84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合计</w:t>
            </w:r>
          </w:p>
        </w:tc>
        <w:tc>
          <w:tcPr>
            <w:tcW w:w="11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一般公共预算拨款</w:t>
            </w:r>
          </w:p>
        </w:tc>
        <w:tc>
          <w:tcPr>
            <w:tcW w:w="102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基金预算拨款</w:t>
            </w:r>
          </w:p>
        </w:tc>
        <w:tc>
          <w:tcPr>
            <w:tcW w:w="9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财政专户核拨</w:t>
            </w:r>
          </w:p>
        </w:tc>
        <w:tc>
          <w:tcPr>
            <w:tcW w:w="87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其他来源收入</w:t>
            </w:r>
          </w:p>
        </w:tc>
        <w:tc>
          <w:tcPr>
            <w:tcW w:w="825" w:type="dxa"/>
            <w:vMerge/>
            <w:tcBorders>
              <w:top w:val="single" w:sz="6" w:space="0" w:color="000000"/>
              <w:left w:val="single" w:sz="6" w:space="0" w:color="000000"/>
              <w:bottom w:val="single" w:sz="6" w:space="0" w:color="000000"/>
              <w:right w:val="single" w:sz="6" w:space="0" w:color="000000"/>
            </w:tcBorders>
            <w:vAlign w:val="center"/>
          </w:tcPr>
          <w:p/>
        </w:tc>
      </w:tr>
      <w:tr>
        <w:tc>
          <w:tcPr>
            <w:tcW w:w="15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hint="eastAsia"/>
                <w:b/>
                <w:lang w:eastAsia="zh-CN"/>
              </w:rPr>
            </w:pPr>
            <w:r>
              <w:rPr>
                <w:rFonts w:ascii="方正书宋_GBK" w:eastAsia="方正书宋_GBK" w:hint="eastAsia"/>
                <w:b/>
                <w:lang w:eastAsia="zh-CN"/>
              </w:rPr>
              <w:t>无</w:t>
            </w:r>
          </w:p>
        </w:tc>
        <w:tc>
          <w:tcPr>
            <w:tcW w:w="8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lang w:val="en-US" w:eastAsia="zh-CN"/>
              </w:rPr>
            </w:pPr>
          </w:p>
        </w:tc>
        <w:tc>
          <w:tcPr>
            <w:tcW w:w="109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hint="eastAsia"/>
                <w:b/>
                <w:lang w:val="en-US" w:eastAsia="zh-CN"/>
              </w:rPr>
            </w:pPr>
          </w:p>
        </w:tc>
        <w:tc>
          <w:tcPr>
            <w:tcW w:w="1155" w:type="dxa"/>
            <w:tcBorders>
              <w:top w:val="single" w:sz="6" w:space="0" w:color="000000"/>
              <w:left w:val="single" w:sz="6" w:space="0" w:color="000000"/>
              <w:bottom w:val="single" w:sz="6" w:space="0" w:color="000000"/>
              <w:right w:val="single" w:sz="6" w:space="0" w:color="000000"/>
            </w:tcBorders>
            <w:vAlign w:val="center"/>
          </w:tcPr>
          <w:p>
            <w:pPr>
              <w:keepNext w:val="0"/>
              <w:keepLines w:val="0"/>
              <w:widowControl/>
              <w:suppressLineNumbers w:val="0"/>
              <w:jc w:val="left"/>
              <w:textAlignment w:val="center"/>
              <w:rPr>
                <w:rFonts w:ascii="方正书宋_GBK" w:eastAsia="方正书宋_GBK"/>
                <w:b/>
              </w:rPr>
            </w:pPr>
          </w:p>
        </w:tc>
        <w:tc>
          <w:tcPr>
            <w:tcW w:w="6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b/>
              </w:rPr>
            </w:pPr>
          </w:p>
        </w:tc>
        <w:tc>
          <w:tcPr>
            <w:tcW w:w="64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lang w:val="en-US" w:eastAsia="zh-CN"/>
              </w:rPr>
            </w:pPr>
          </w:p>
        </w:tc>
        <w:tc>
          <w:tcPr>
            <w:tcW w:w="8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lang w:val="en-US" w:eastAsia="zh-CN"/>
              </w:rPr>
            </w:pPr>
          </w:p>
        </w:tc>
        <w:tc>
          <w:tcPr>
            <w:tcW w:w="8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lang w:val="en-US" w:eastAsia="zh-CN"/>
              </w:rPr>
            </w:pPr>
          </w:p>
        </w:tc>
        <w:tc>
          <w:tcPr>
            <w:tcW w:w="84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lang w:val="en-US" w:eastAsia="zh-CN"/>
              </w:rPr>
            </w:pPr>
          </w:p>
        </w:tc>
        <w:tc>
          <w:tcPr>
            <w:tcW w:w="11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lang w:val="en-US" w:eastAsia="zh-CN"/>
              </w:rPr>
            </w:pPr>
          </w:p>
        </w:tc>
        <w:tc>
          <w:tcPr>
            <w:tcW w:w="102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c>
          <w:tcPr>
            <w:tcW w:w="9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c>
          <w:tcPr>
            <w:tcW w:w="87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c>
          <w:tcPr>
            <w:tcW w:w="82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r>
      <w:tr>
        <w:tc>
          <w:tcPr>
            <w:tcW w:w="15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8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09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11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6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64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4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1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02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9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7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2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r>
      <w:tr>
        <w:tc>
          <w:tcPr>
            <w:tcW w:w="15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8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09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11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6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64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4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1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02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9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7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2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r>
    </w:tbl>
    <w:p>
      <w:pPr>
        <w:rPr>
          <w:rFonts w:ascii="仿宋" w:eastAsia="仿宋" w:cs="Times New Roman" w:hAnsi="仿宋" w:hint="eastAsia"/>
          <w:sz w:val="32"/>
          <w:szCs w:val="24"/>
        </w:rPr>
      </w:pPr>
      <w:r>
        <w:rPr>
          <w:rFonts w:ascii="仿宋" w:eastAsia="仿宋" w:hAnsi="仿宋" w:hint="eastAsia"/>
          <w:sz w:val="32"/>
          <w:szCs w:val="32"/>
          <w:lang w:val="en-US" w:eastAsia="zh-CN"/>
        </w:rPr>
        <w:t>注：无政府采购预算，空表列示。</w:t>
      </w:r>
    </w:p>
    <w:p>
      <w:pPr>
        <w:autoSpaceDE w:val="0"/>
        <w:autoSpaceDN w:val="0"/>
        <w:adjustRightInd w:val="0"/>
        <w:ind w:left="198" w:firstLineChars="200" w:firstLine="640"/>
        <w:jc w:val="left"/>
        <w:rPr>
          <w:rFonts w:ascii="黑体" w:eastAsia="黑体" w:cs="Times New Roman" w:hAnsi="黑体"/>
          <w:sz w:val="32"/>
          <w:szCs w:val="32"/>
        </w:rPr>
      </w:pPr>
      <w:r>
        <w:rPr>
          <w:rFonts w:ascii="黑体" w:eastAsia="黑体" w:cs="Times New Roman" w:hAnsi="黑体" w:hint="eastAsia"/>
          <w:sz w:val="32"/>
          <w:szCs w:val="32"/>
        </w:rPr>
        <w:t>七、国有资产信息</w:t>
      </w:r>
    </w:p>
    <w:p>
      <w:pPr>
        <w:ind w:firstLine="645"/>
        <w:outlineLvl w:val="0"/>
        <w:rPr>
          <w:rFonts w:ascii="仿宋" w:eastAsia="仿宋" w:hAnsi="仿宋"/>
          <w:sz w:val="32"/>
        </w:rPr>
      </w:pPr>
      <w:r>
        <w:rPr>
          <w:rFonts w:ascii="仿宋" w:eastAsia="仿宋" w:hAnsi="仿宋" w:hint="eastAsia"/>
          <w:sz w:val="32"/>
          <w:szCs w:val="32"/>
        </w:rPr>
        <w:t>上年末固定资产金额为</w:t>
      </w:r>
      <w:r>
        <w:rPr>
          <w:rFonts w:ascii="仿宋" w:eastAsia="仿宋" w:hAnsi="仿宋" w:hint="eastAsia"/>
          <w:sz w:val="32"/>
          <w:szCs w:val="32"/>
          <w:lang w:val="en-US" w:eastAsia="zh-CN"/>
        </w:rPr>
        <w:t>7.84</w:t>
      </w:r>
      <w:r>
        <w:rPr>
          <w:rFonts w:ascii="仿宋" w:eastAsia="仿宋" w:hAnsi="仿宋" w:hint="eastAsia"/>
          <w:sz w:val="32"/>
          <w:szCs w:val="32"/>
        </w:rPr>
        <w:t>万元（详见下表）。本年度拟购置的固定资产为0万元。</w:t>
      </w:r>
    </w:p>
    <w:tbl>
      <w:tblPr>
        <w:jc w:val="left"/>
        <w:tblInd w:w="93" w:type="dxa"/>
        <w:tblW w:w="1348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5224"/>
        <w:gridCol w:w="3155"/>
        <w:gridCol w:w="5103"/>
      </w:tblGrid>
      <w:tr>
        <w:trPr>
          <w:trHeight w:val="585"/>
        </w:trPr>
        <w:tc>
          <w:tcPr>
            <w:tcW w:w="13482" w:type="dxa"/>
            <w:gridSpan w:val="3"/>
            <w:tcBorders>
              <w:top w:val="nil"/>
              <w:left w:val="nil"/>
              <w:bottom w:val="nil"/>
              <w:right w:val="nil"/>
            </w:tcBorders>
            <w:vAlign w:val="center"/>
          </w:tcPr>
          <w:p>
            <w:pPr>
              <w:widowControl/>
              <w:jc w:val="center"/>
              <w:rPr>
                <w:rFonts w:ascii="宋体" w:cs="宋体" w:hAnsi="宋体"/>
                <w:b/>
                <w:bCs/>
                <w:kern w:val="0"/>
                <w:sz w:val="32"/>
                <w:szCs w:val="32"/>
              </w:rPr>
            </w:pPr>
            <w:r>
              <w:rPr>
                <w:rFonts w:ascii="宋体" w:cs="宋体" w:hAnsi="宋体" w:hint="eastAsia"/>
                <w:b/>
                <w:bCs/>
                <w:kern w:val="0"/>
                <w:sz w:val="32"/>
                <w:szCs w:val="32"/>
                <w:lang w:val="en-US" w:eastAsia="zh-CN"/>
              </w:rPr>
              <w:t>中共深泽县委机构编制委员会办公室</w:t>
            </w:r>
            <w:r>
              <w:rPr>
                <w:rFonts w:ascii="宋体" w:cs="宋体" w:hAnsi="宋体" w:hint="eastAsia"/>
                <w:b/>
                <w:bCs/>
                <w:kern w:val="0"/>
                <w:sz w:val="32"/>
                <w:szCs w:val="32"/>
              </w:rPr>
              <w:t>固定资产占用情况表</w:t>
            </w:r>
          </w:p>
        </w:tc>
      </w:tr>
      <w:tr>
        <w:trPr>
          <w:trHeight w:val="510"/>
        </w:trPr>
        <w:tc>
          <w:tcPr>
            <w:tcW w:w="8379" w:type="dxa"/>
            <w:gridSpan w:val="2"/>
            <w:tcBorders>
              <w:top w:val="nil"/>
              <w:left w:val="nil"/>
              <w:bottom w:val="nil"/>
              <w:right w:val="nil"/>
            </w:tcBorders>
            <w:vAlign w:val="center"/>
          </w:tcPr>
          <w:p>
            <w:pPr>
              <w:widowControl/>
              <w:jc w:val="left"/>
              <w:rPr>
                <w:rFonts w:ascii="宋体" w:cs="宋体" w:hAnsi="宋体"/>
                <w:kern w:val="0"/>
                <w:sz w:val="22"/>
              </w:rPr>
            </w:pPr>
            <w:r>
              <w:rPr>
                <w:rFonts w:ascii="宋体" w:cs="宋体" w:hAnsi="宋体" w:hint="eastAsia"/>
                <w:kern w:val="0"/>
                <w:sz w:val="22"/>
              </w:rPr>
              <w:t>编制部门：</w:t>
            </w:r>
            <w:r>
              <w:rPr>
                <w:rFonts w:ascii="宋体" w:cs="宋体" w:hAnsi="宋体" w:hint="eastAsia"/>
                <w:kern w:val="0"/>
                <w:sz w:val="22"/>
                <w:lang w:val="en-US" w:eastAsia="zh-CN"/>
              </w:rPr>
              <w:t>225中共深泽县委机构编制委员会办公室</w:t>
            </w:r>
          </w:p>
        </w:tc>
        <w:tc>
          <w:tcPr>
            <w:tcW w:w="5103" w:type="dxa"/>
            <w:tcBorders>
              <w:top w:val="nil"/>
              <w:left w:val="nil"/>
              <w:bottom w:val="nil"/>
              <w:right w:val="nil"/>
            </w:tcBorders>
            <w:vAlign w:val="center"/>
          </w:tcPr>
          <w:p>
            <w:pPr>
              <w:widowControl/>
              <w:jc w:val="left"/>
              <w:rPr>
                <w:rFonts w:ascii="宋体" w:cs="宋体" w:hAnsi="宋体"/>
                <w:kern w:val="0"/>
                <w:sz w:val="22"/>
              </w:rPr>
            </w:pPr>
            <w:r>
              <w:rPr>
                <w:rFonts w:ascii="宋体" w:cs="宋体" w:hAnsi="宋体" w:hint="eastAsia"/>
                <w:kern w:val="0"/>
                <w:sz w:val="22"/>
              </w:rPr>
              <w:t>截止时间：201</w:t>
            </w:r>
            <w:r>
              <w:rPr>
                <w:rFonts w:ascii="宋体" w:cs="宋体" w:hAnsi="宋体" w:hint="eastAsia"/>
                <w:kern w:val="0"/>
                <w:sz w:val="22"/>
                <w:lang w:val="en-US" w:eastAsia="zh-CN"/>
              </w:rPr>
              <w:t>8</w:t>
            </w:r>
            <w:r>
              <w:rPr>
                <w:rFonts w:ascii="宋体" w:cs="宋体" w:hAnsi="宋体" w:hint="eastAsia"/>
                <w:kern w:val="0"/>
                <w:sz w:val="22"/>
              </w:rPr>
              <w:t xml:space="preserve">年12月31日  </w:t>
            </w:r>
          </w:p>
        </w:tc>
      </w:tr>
      <w:tr>
        <w:trPr>
          <w:trHeight w:val="560"/>
        </w:trPr>
        <w:tc>
          <w:tcPr>
            <w:tcW w:w="522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cs="宋体" w:hAnsi="宋体"/>
                <w:b/>
                <w:bCs/>
                <w:kern w:val="0"/>
                <w:sz w:val="22"/>
              </w:rPr>
            </w:pPr>
            <w:r>
              <w:rPr>
                <w:rFonts w:ascii="宋体" w:cs="宋体" w:hAnsi="宋体" w:hint="eastAsia"/>
                <w:b/>
                <w:bCs/>
                <w:kern w:val="0"/>
                <w:sz w:val="22"/>
              </w:rPr>
              <w:t>项   目</w:t>
            </w:r>
          </w:p>
        </w:tc>
        <w:tc>
          <w:tcPr>
            <w:tcW w:w="3155" w:type="dxa"/>
            <w:tcBorders>
              <w:top w:val="single" w:sz="4" w:space="0" w:color="auto"/>
              <w:left w:val="nil"/>
              <w:bottom w:val="single" w:sz="4" w:space="0" w:color="auto"/>
              <w:right w:val="single" w:sz="4" w:space="0" w:color="auto"/>
            </w:tcBorders>
            <w:vAlign w:val="center"/>
          </w:tcPr>
          <w:p>
            <w:pPr>
              <w:widowControl/>
              <w:jc w:val="center"/>
              <w:rPr>
                <w:rFonts w:ascii="宋体" w:cs="宋体" w:hAnsi="宋体"/>
                <w:b/>
                <w:bCs/>
                <w:kern w:val="0"/>
                <w:sz w:val="22"/>
              </w:rPr>
            </w:pPr>
            <w:r>
              <w:rPr>
                <w:rFonts w:ascii="宋体" w:cs="宋体" w:hAnsi="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pPr>
              <w:widowControl/>
              <w:jc w:val="center"/>
              <w:rPr>
                <w:rFonts w:ascii="宋体" w:cs="宋体" w:hAnsi="宋体"/>
                <w:b/>
                <w:bCs/>
                <w:kern w:val="0"/>
                <w:sz w:val="22"/>
              </w:rPr>
            </w:pPr>
            <w:r>
              <w:rPr>
                <w:rFonts w:ascii="宋体" w:cs="宋体" w:hAnsi="宋体" w:hint="eastAsia"/>
                <w:b/>
                <w:bCs/>
                <w:kern w:val="0"/>
                <w:sz w:val="22"/>
              </w:rPr>
              <w:t>价值（金额单位：万元）</w:t>
            </w:r>
          </w:p>
        </w:tc>
      </w:tr>
      <w:tr>
        <w:trPr>
          <w:trHeight w:val="90"/>
        </w:trPr>
        <w:tc>
          <w:tcPr>
            <w:tcW w:w="5224" w:type="dxa"/>
            <w:tcBorders>
              <w:top w:val="nil"/>
              <w:left w:val="single" w:sz="4" w:space="0" w:color="auto"/>
              <w:bottom w:val="single" w:sz="4" w:space="0" w:color="auto"/>
              <w:right w:val="single" w:sz="4" w:space="0" w:color="auto"/>
            </w:tcBorders>
            <w:vAlign w:val="center"/>
          </w:tcPr>
          <w:p>
            <w:pPr>
              <w:widowControl/>
              <w:jc w:val="center"/>
              <w:rPr>
                <w:rFonts w:ascii="宋体" w:cs="宋体" w:hAnsi="宋体"/>
                <w:kern w:val="0"/>
                <w:sz w:val="22"/>
              </w:rPr>
            </w:pPr>
            <w:r>
              <w:rPr>
                <w:rFonts w:ascii="宋体" w:cs="宋体" w:hAnsi="宋体" w:hint="eastAsia"/>
                <w:kern w:val="0"/>
                <w:sz w:val="22"/>
              </w:rPr>
              <w:t>资产总额</w:t>
            </w:r>
          </w:p>
        </w:tc>
        <w:tc>
          <w:tcPr>
            <w:tcW w:w="3155" w:type="dxa"/>
            <w:tcBorders>
              <w:top w:val="nil"/>
              <w:left w:val="nil"/>
              <w:bottom w:val="single" w:sz="4" w:space="0" w:color="auto"/>
              <w:right w:val="single" w:sz="4" w:space="0" w:color="auto"/>
            </w:tcBorders>
            <w:vAlign w:val="center"/>
          </w:tcPr>
          <w:p>
            <w:pPr>
              <w:widowControl/>
              <w:jc w:val="center"/>
              <w:rPr>
                <w:rFonts w:ascii="宋体" w:cs="宋体" w:hAnsi="宋体"/>
                <w:kern w:val="0"/>
                <w:sz w:val="22"/>
              </w:rPr>
            </w:pPr>
            <w:r>
              <w:rPr>
                <w:rFonts w:ascii="宋体" w:cs="宋体" w:hAnsi="宋体" w:hint="eastAsia"/>
                <w:kern w:val="0"/>
                <w:sz w:val="22"/>
              </w:rPr>
              <w:t>——</w:t>
            </w:r>
          </w:p>
        </w:tc>
        <w:tc>
          <w:tcPr>
            <w:tcW w:w="5103" w:type="dxa"/>
            <w:tcBorders>
              <w:top w:val="nil"/>
              <w:left w:val="nil"/>
              <w:bottom w:val="single" w:sz="4" w:space="0" w:color="auto"/>
              <w:right w:val="single" w:sz="4" w:space="0" w:color="auto"/>
            </w:tcBorders>
            <w:vAlign w:val="center"/>
          </w:tcPr>
          <w:p>
            <w:pPr>
              <w:widowControl/>
              <w:jc w:val="center"/>
              <w:rPr>
                <w:rFonts w:ascii="宋体" w:eastAsia="宋体" w:cs="宋体" w:hAnsi="宋体" w:hint="eastAsia"/>
                <w:kern w:val="0"/>
                <w:sz w:val="22"/>
                <w:lang w:eastAsia="zh-CN"/>
              </w:rPr>
            </w:pPr>
            <w:r>
              <w:rPr>
                <w:rFonts w:ascii="宋体" w:cs="宋体" w:hAnsi="宋体" w:hint="eastAsia"/>
                <w:kern w:val="0"/>
                <w:sz w:val="22"/>
                <w:lang w:val="en-US" w:eastAsia="zh-CN"/>
              </w:rPr>
              <w:t>7.84</w:t>
            </w:r>
          </w:p>
        </w:tc>
      </w:tr>
      <w:tr>
        <w:trPr>
          <w:trHeight w:val="390"/>
        </w:trPr>
        <w:tc>
          <w:tcPr>
            <w:tcW w:w="5224" w:type="dxa"/>
            <w:tcBorders>
              <w:top w:val="nil"/>
              <w:left w:val="single" w:sz="4" w:space="0" w:color="auto"/>
              <w:bottom w:val="single" w:sz="4" w:space="0" w:color="auto"/>
              <w:right w:val="single" w:sz="4" w:space="0" w:color="auto"/>
            </w:tcBorders>
            <w:vAlign w:val="center"/>
          </w:tcPr>
          <w:p>
            <w:pPr>
              <w:widowControl/>
              <w:jc w:val="left"/>
              <w:rPr>
                <w:rFonts w:ascii="宋体" w:cs="宋体" w:hAnsi="宋体"/>
                <w:kern w:val="0"/>
                <w:sz w:val="22"/>
              </w:rPr>
            </w:pPr>
            <w:r>
              <w:rPr>
                <w:rFonts w:ascii="宋体" w:cs="宋体" w:hAnsi="宋体" w:hint="eastAsia"/>
                <w:kern w:val="0"/>
                <w:sz w:val="22"/>
              </w:rPr>
              <w:t>1、房屋（平方米）</w:t>
            </w:r>
          </w:p>
        </w:tc>
        <w:tc>
          <w:tcPr>
            <w:tcW w:w="3155" w:type="dxa"/>
            <w:tcBorders>
              <w:top w:val="nil"/>
              <w:left w:val="nil"/>
              <w:bottom w:val="single" w:sz="4" w:space="0" w:color="auto"/>
              <w:right w:val="single" w:sz="4" w:space="0" w:color="auto"/>
            </w:tcBorders>
            <w:vAlign w:val="center"/>
          </w:tcPr>
          <w:p>
            <w:pPr>
              <w:widowControl/>
              <w:jc w:val="center"/>
              <w:rPr>
                <w:rFonts w:ascii="宋体" w:cs="宋体" w:hAnsi="宋体"/>
                <w:kern w:val="0"/>
                <w:sz w:val="22"/>
              </w:rPr>
            </w:pPr>
          </w:p>
        </w:tc>
        <w:tc>
          <w:tcPr>
            <w:tcW w:w="5103" w:type="dxa"/>
            <w:tcBorders>
              <w:top w:val="nil"/>
              <w:left w:val="nil"/>
              <w:bottom w:val="single" w:sz="4" w:space="0" w:color="auto"/>
              <w:right w:val="single" w:sz="4" w:space="0" w:color="auto"/>
            </w:tcBorders>
            <w:vAlign w:val="center"/>
          </w:tcPr>
          <w:p>
            <w:pPr>
              <w:widowControl/>
              <w:jc w:val="center"/>
              <w:rPr>
                <w:rFonts w:ascii="宋体" w:cs="宋体" w:hAnsi="宋体"/>
                <w:kern w:val="0"/>
                <w:sz w:val="22"/>
              </w:rPr>
            </w:pPr>
          </w:p>
        </w:tc>
      </w:tr>
      <w:tr>
        <w:trPr>
          <w:trHeight w:val="525"/>
        </w:trPr>
        <w:tc>
          <w:tcPr>
            <w:tcW w:w="5224" w:type="dxa"/>
            <w:tcBorders>
              <w:top w:val="nil"/>
              <w:left w:val="single" w:sz="4" w:space="0" w:color="auto"/>
              <w:bottom w:val="single" w:sz="4" w:space="0" w:color="auto"/>
              <w:right w:val="single" w:sz="4" w:space="0" w:color="auto"/>
            </w:tcBorders>
            <w:vAlign w:val="center"/>
          </w:tcPr>
          <w:p>
            <w:pPr>
              <w:widowControl/>
              <w:jc w:val="left"/>
              <w:rPr>
                <w:rFonts w:ascii="宋体" w:cs="宋体" w:hAnsi="宋体"/>
                <w:kern w:val="0"/>
                <w:sz w:val="22"/>
              </w:rPr>
            </w:pPr>
            <w:r>
              <w:rPr>
                <w:rFonts w:ascii="宋体" w:cs="宋体" w:hAnsi="宋体" w:hint="eastAsia"/>
                <w:kern w:val="0"/>
                <w:sz w:val="22"/>
              </w:rPr>
              <w:t xml:space="preserve">  其中：办公用房（平方米）</w:t>
            </w:r>
          </w:p>
        </w:tc>
        <w:tc>
          <w:tcPr>
            <w:tcW w:w="3155" w:type="dxa"/>
            <w:tcBorders>
              <w:top w:val="nil"/>
              <w:left w:val="nil"/>
              <w:bottom w:val="single" w:sz="4" w:space="0" w:color="auto"/>
              <w:right w:val="single" w:sz="4" w:space="0" w:color="auto"/>
            </w:tcBorders>
            <w:vAlign w:val="center"/>
          </w:tcPr>
          <w:p>
            <w:pPr>
              <w:widowControl/>
              <w:jc w:val="center"/>
              <w:rPr>
                <w:rFonts w:ascii="宋体" w:cs="宋体" w:hAnsi="宋体"/>
                <w:kern w:val="0"/>
                <w:sz w:val="22"/>
              </w:rPr>
            </w:pPr>
          </w:p>
        </w:tc>
        <w:tc>
          <w:tcPr>
            <w:tcW w:w="5103" w:type="dxa"/>
            <w:tcBorders>
              <w:top w:val="nil"/>
              <w:left w:val="nil"/>
              <w:bottom w:val="single" w:sz="4" w:space="0" w:color="auto"/>
              <w:right w:val="single" w:sz="4" w:space="0" w:color="auto"/>
            </w:tcBorders>
            <w:vAlign w:val="center"/>
          </w:tcPr>
          <w:p>
            <w:pPr>
              <w:widowControl/>
              <w:jc w:val="center"/>
              <w:rPr>
                <w:rFonts w:ascii="宋体" w:cs="宋体" w:hAnsi="宋体"/>
                <w:kern w:val="0"/>
                <w:sz w:val="22"/>
              </w:rPr>
            </w:pPr>
          </w:p>
        </w:tc>
      </w:tr>
      <w:tr>
        <w:trPr>
          <w:trHeight w:val="525"/>
        </w:trPr>
        <w:tc>
          <w:tcPr>
            <w:tcW w:w="5224" w:type="dxa"/>
            <w:tcBorders>
              <w:top w:val="nil"/>
              <w:left w:val="single" w:sz="4" w:space="0" w:color="auto"/>
              <w:bottom w:val="single" w:sz="4" w:space="0" w:color="auto"/>
              <w:right w:val="single" w:sz="4" w:space="0" w:color="auto"/>
            </w:tcBorders>
            <w:vAlign w:val="center"/>
          </w:tcPr>
          <w:p>
            <w:pPr>
              <w:widowControl/>
              <w:jc w:val="left"/>
              <w:rPr>
                <w:rFonts w:ascii="宋体" w:cs="宋体" w:hAnsi="宋体"/>
                <w:kern w:val="0"/>
                <w:sz w:val="22"/>
              </w:rPr>
            </w:pPr>
            <w:r>
              <w:rPr>
                <w:rFonts w:ascii="宋体" w:cs="宋体" w:hAnsi="宋体" w:hint="eastAsia"/>
                <w:kern w:val="0"/>
                <w:sz w:val="22"/>
              </w:rPr>
              <w:t>2、车辆（台、辆）</w:t>
            </w:r>
          </w:p>
        </w:tc>
        <w:tc>
          <w:tcPr>
            <w:tcW w:w="3155" w:type="dxa"/>
            <w:tcBorders>
              <w:top w:val="nil"/>
              <w:left w:val="nil"/>
              <w:bottom w:val="single" w:sz="4" w:space="0" w:color="auto"/>
              <w:right w:val="single" w:sz="4" w:space="0" w:color="auto"/>
            </w:tcBorders>
            <w:vAlign w:val="center"/>
          </w:tcPr>
          <w:p>
            <w:pPr>
              <w:widowControl/>
              <w:jc w:val="center"/>
              <w:rPr>
                <w:rFonts w:ascii="宋体" w:cs="宋体" w:hAnsi="宋体"/>
                <w:kern w:val="0"/>
                <w:sz w:val="22"/>
              </w:rPr>
            </w:pPr>
          </w:p>
        </w:tc>
        <w:tc>
          <w:tcPr>
            <w:tcW w:w="5103" w:type="dxa"/>
            <w:tcBorders>
              <w:top w:val="nil"/>
              <w:left w:val="nil"/>
              <w:bottom w:val="single" w:sz="4" w:space="0" w:color="auto"/>
              <w:right w:val="single" w:sz="4" w:space="0" w:color="auto"/>
            </w:tcBorders>
            <w:vAlign w:val="center"/>
          </w:tcPr>
          <w:p>
            <w:pPr>
              <w:widowControl/>
              <w:jc w:val="center"/>
              <w:rPr>
                <w:rFonts w:ascii="宋体" w:cs="宋体" w:hAnsi="宋体"/>
                <w:kern w:val="0"/>
                <w:sz w:val="22"/>
              </w:rPr>
            </w:pPr>
          </w:p>
        </w:tc>
      </w:tr>
      <w:tr>
        <w:trPr>
          <w:trHeight w:val="525"/>
        </w:trPr>
        <w:tc>
          <w:tcPr>
            <w:tcW w:w="5224" w:type="dxa"/>
            <w:tcBorders>
              <w:top w:val="nil"/>
              <w:left w:val="single" w:sz="4" w:space="0" w:color="auto"/>
              <w:bottom w:val="single" w:sz="4" w:space="0" w:color="auto"/>
              <w:right w:val="single" w:sz="4" w:space="0" w:color="auto"/>
            </w:tcBorders>
            <w:vAlign w:val="center"/>
          </w:tcPr>
          <w:p>
            <w:pPr>
              <w:widowControl/>
              <w:jc w:val="left"/>
              <w:rPr>
                <w:rFonts w:ascii="宋体" w:cs="宋体" w:hAnsi="宋体"/>
                <w:kern w:val="0"/>
                <w:sz w:val="22"/>
              </w:rPr>
            </w:pPr>
            <w:r>
              <w:rPr>
                <w:rFonts w:ascii="宋体" w:cs="宋体" w:hAnsi="宋体" w:hint="eastAsia"/>
                <w:kern w:val="0"/>
                <w:sz w:val="22"/>
              </w:rPr>
              <w:t>3、单价在20万元以上设备</w:t>
            </w:r>
          </w:p>
        </w:tc>
        <w:tc>
          <w:tcPr>
            <w:tcW w:w="3155" w:type="dxa"/>
            <w:tcBorders>
              <w:top w:val="nil"/>
              <w:left w:val="nil"/>
              <w:bottom w:val="single" w:sz="4" w:space="0" w:color="auto"/>
              <w:right w:val="single" w:sz="4" w:space="0" w:color="auto"/>
            </w:tcBorders>
            <w:vAlign w:val="center"/>
          </w:tcPr>
          <w:p>
            <w:pPr>
              <w:widowControl/>
              <w:jc w:val="center"/>
              <w:rPr>
                <w:rFonts w:ascii="宋体" w:cs="宋体" w:hAnsi="宋体"/>
                <w:kern w:val="0"/>
                <w:sz w:val="22"/>
              </w:rPr>
            </w:pPr>
            <w:r>
              <w:rPr>
                <w:rFonts w:ascii="宋体" w:cs="宋体" w:hAnsi="宋体" w:hint="eastAsia"/>
                <w:kern w:val="0"/>
                <w:sz w:val="22"/>
              </w:rPr>
              <w:t>——</w:t>
            </w:r>
          </w:p>
        </w:tc>
        <w:tc>
          <w:tcPr>
            <w:tcW w:w="5103" w:type="dxa"/>
            <w:tcBorders>
              <w:top w:val="nil"/>
              <w:left w:val="nil"/>
              <w:bottom w:val="single" w:sz="4" w:space="0" w:color="auto"/>
              <w:right w:val="single" w:sz="4" w:space="0" w:color="auto"/>
            </w:tcBorders>
            <w:vAlign w:val="center"/>
          </w:tcPr>
          <w:p>
            <w:pPr>
              <w:widowControl/>
              <w:jc w:val="center"/>
              <w:rPr>
                <w:rFonts w:ascii="宋体" w:cs="宋体" w:hAnsi="宋体"/>
                <w:kern w:val="0"/>
                <w:sz w:val="22"/>
              </w:rPr>
            </w:pPr>
          </w:p>
        </w:tc>
      </w:tr>
      <w:tr>
        <w:trPr>
          <w:trHeight w:val="535"/>
        </w:trPr>
        <w:tc>
          <w:tcPr>
            <w:tcW w:w="5224" w:type="dxa"/>
            <w:tcBorders>
              <w:top w:val="nil"/>
              <w:left w:val="single" w:sz="4" w:space="0" w:color="auto"/>
              <w:bottom w:val="single" w:sz="4" w:space="0" w:color="auto"/>
              <w:right w:val="single" w:sz="4" w:space="0" w:color="auto"/>
            </w:tcBorders>
            <w:vAlign w:val="center"/>
          </w:tcPr>
          <w:p>
            <w:pPr>
              <w:widowControl/>
              <w:jc w:val="left"/>
              <w:rPr>
                <w:rFonts w:ascii="宋体" w:cs="宋体" w:hAnsi="宋体"/>
                <w:kern w:val="0"/>
                <w:sz w:val="22"/>
              </w:rPr>
            </w:pPr>
            <w:r>
              <w:rPr>
                <w:rFonts w:ascii="宋体" w:cs="宋体" w:hAnsi="宋体" w:hint="eastAsia"/>
                <w:kern w:val="0"/>
                <w:sz w:val="22"/>
              </w:rPr>
              <w:t>4、其他固定资产</w:t>
            </w:r>
          </w:p>
        </w:tc>
        <w:tc>
          <w:tcPr>
            <w:tcW w:w="3155" w:type="dxa"/>
            <w:tcBorders>
              <w:top w:val="nil"/>
              <w:left w:val="nil"/>
              <w:bottom w:val="single" w:sz="4" w:space="0" w:color="auto"/>
              <w:right w:val="single" w:sz="4" w:space="0" w:color="auto"/>
            </w:tcBorders>
            <w:vAlign w:val="center"/>
          </w:tcPr>
          <w:p>
            <w:pPr>
              <w:widowControl/>
              <w:jc w:val="center"/>
              <w:rPr>
                <w:rFonts w:ascii="宋体" w:cs="宋体" w:hAnsi="宋体"/>
                <w:kern w:val="0"/>
                <w:sz w:val="22"/>
              </w:rPr>
            </w:pPr>
            <w:r>
              <w:rPr>
                <w:rFonts w:ascii="宋体" w:cs="宋体" w:hAnsi="宋体" w:hint="eastAsia"/>
                <w:kern w:val="0"/>
                <w:sz w:val="22"/>
              </w:rPr>
              <w:t>——</w:t>
            </w:r>
          </w:p>
        </w:tc>
        <w:tc>
          <w:tcPr>
            <w:tcW w:w="5103" w:type="dxa"/>
            <w:tcBorders>
              <w:top w:val="nil"/>
              <w:left w:val="nil"/>
              <w:bottom w:val="single" w:sz="4" w:space="0" w:color="auto"/>
              <w:right w:val="single" w:sz="4" w:space="0" w:color="auto"/>
            </w:tcBorders>
            <w:vAlign w:val="center"/>
          </w:tcPr>
          <w:p>
            <w:pPr>
              <w:widowControl/>
              <w:jc w:val="center"/>
              <w:rPr>
                <w:rFonts w:ascii="宋体" w:eastAsia="宋体" w:cs="宋体" w:hAnsi="宋体" w:hint="eastAsia"/>
                <w:kern w:val="0"/>
                <w:sz w:val="22"/>
                <w:lang w:eastAsia="zh-CN"/>
              </w:rPr>
            </w:pPr>
            <w:r>
              <w:rPr>
                <w:rFonts w:ascii="宋体" w:cs="宋体" w:hAnsi="宋体" w:hint="eastAsia"/>
                <w:kern w:val="0"/>
                <w:sz w:val="22"/>
                <w:lang w:val="en-US" w:eastAsia="zh-CN"/>
              </w:rPr>
              <w:t>7.84</w:t>
            </w:r>
          </w:p>
        </w:tc>
      </w:tr>
    </w:tbl>
    <w:p>
      <w:pPr>
        <w:rPr>
          <w:rFonts w:ascii="仿宋_GB2312" w:eastAsia="仿宋_GB2312" w:cs="Times New Roman" w:hAnsi="黑体" w:hint="eastAsia"/>
          <w:sz w:val="32"/>
          <w:szCs w:val="32"/>
        </w:rPr>
      </w:pPr>
    </w:p>
    <w:p>
      <w:pPr>
        <w:autoSpaceDE w:val="0"/>
        <w:autoSpaceDN w:val="0"/>
        <w:adjustRightInd w:val="0"/>
        <w:ind w:left="0" w:firstLineChars="200" w:firstLine="640"/>
        <w:jc w:val="left"/>
        <w:rPr>
          <w:rFonts w:ascii="黑体" w:eastAsia="黑体" w:cs="Times New Roman" w:hAnsi="黑体"/>
          <w:sz w:val="32"/>
          <w:szCs w:val="32"/>
        </w:rPr>
      </w:pPr>
      <w:r>
        <w:rPr>
          <w:rFonts w:ascii="黑体" w:eastAsia="黑体" w:cs="Times New Roman" w:hAnsi="黑体" w:hint="eastAsia"/>
          <w:sz w:val="32"/>
          <w:szCs w:val="32"/>
          <w:lang w:eastAsia="zh-CN"/>
        </w:rPr>
        <w:t>八、</w:t>
      </w:r>
      <w:r>
        <w:rPr>
          <w:rFonts w:ascii="黑体" w:eastAsia="黑体" w:cs="Times New Roman" w:hAnsi="黑体" w:hint="eastAsia"/>
          <w:sz w:val="32"/>
          <w:szCs w:val="32"/>
        </w:rPr>
        <w:t>名词解释</w:t>
      </w:r>
    </w:p>
    <w:p>
      <w:pPr>
        <w:autoSpaceDE w:val="0"/>
        <w:autoSpaceDN w:val="0"/>
        <w:adjustRightInd w:val="0"/>
        <w:ind w:firstLineChars="200" w:firstLine="640"/>
        <w:jc w:val="left"/>
        <w:rPr>
          <w:rFonts w:ascii="仿宋_GB2312" w:eastAsia="仿宋_GB2312" w:cs="仿宋_GB2312" w:hAnsi="仿宋_GB2312"/>
          <w:sz w:val="32"/>
          <w:szCs w:val="32"/>
        </w:rPr>
      </w:pPr>
      <w:r>
        <w:rPr>
          <w:rFonts w:ascii="仿宋_GB2312" w:eastAsia="仿宋_GB2312" w:cs="仿宋_GB2312" w:hAnsi="仿宋_GB2312" w:hint="eastAsia"/>
          <w:sz w:val="32"/>
          <w:szCs w:val="32"/>
        </w:rPr>
        <w:t>1、一般预算收入：县级财政当年拨付的资金。</w:t>
      </w:r>
    </w:p>
    <w:p>
      <w:pPr>
        <w:autoSpaceDE w:val="0"/>
        <w:autoSpaceDN w:val="0"/>
        <w:adjustRightInd w:val="0"/>
        <w:ind w:firstLineChars="200" w:firstLine="640"/>
        <w:jc w:val="left"/>
        <w:rPr>
          <w:rFonts w:ascii="仿宋_GB2312" w:eastAsia="仿宋_GB2312" w:cs="仿宋_GB2312" w:hAnsi="仿宋_GB2312"/>
          <w:sz w:val="32"/>
          <w:szCs w:val="32"/>
        </w:rPr>
      </w:pPr>
      <w:r>
        <w:rPr>
          <w:rFonts w:ascii="仿宋_GB2312" w:eastAsia="仿宋_GB2312" w:cs="仿宋_GB2312" w:hAnsi="仿宋_GB2312" w:hint="eastAsia"/>
          <w:sz w:val="32"/>
          <w:szCs w:val="32"/>
        </w:rPr>
        <w:t>2、基本支出：为保障机构正常运转，完成日常工作任务，而发生的人员支出和公用支出。</w:t>
      </w:r>
    </w:p>
    <w:p>
      <w:pPr>
        <w:autoSpaceDE w:val="0"/>
        <w:autoSpaceDN w:val="0"/>
        <w:adjustRightInd w:val="0"/>
        <w:ind w:firstLineChars="200" w:firstLine="640"/>
        <w:jc w:val="left"/>
        <w:rPr>
          <w:rFonts w:ascii="仿宋_GB2312" w:eastAsia="仿宋_GB2312" w:cs="仿宋_GB2312" w:hAnsi="仿宋_GB2312"/>
          <w:sz w:val="32"/>
          <w:szCs w:val="32"/>
        </w:rPr>
      </w:pPr>
      <w:r>
        <w:rPr>
          <w:rFonts w:ascii="仿宋_GB2312" w:eastAsia="仿宋_GB2312" w:cs="仿宋_GB2312" w:hAnsi="仿宋_GB2312" w:hint="eastAsia"/>
          <w:sz w:val="32"/>
          <w:szCs w:val="32"/>
        </w:rPr>
        <w:t>3、项目支出：是指在基本支出之外，为完成特定行政任务和事业发展目标，而发生的支出。</w:t>
      </w:r>
    </w:p>
    <w:p>
      <w:pPr>
        <w:autoSpaceDE w:val="0"/>
        <w:autoSpaceDN w:val="0"/>
        <w:adjustRightInd w:val="0"/>
        <w:ind w:firstLineChars="200" w:firstLine="640"/>
        <w:jc w:val="left"/>
        <w:rPr>
          <w:rFonts w:ascii="仿宋_GB2312" w:eastAsia="仿宋_GB2312" w:cs="仿宋_GB2312" w:hAnsi="仿宋_GB2312"/>
          <w:sz w:val="32"/>
          <w:szCs w:val="32"/>
        </w:rPr>
      </w:pPr>
      <w:r>
        <w:rPr>
          <w:rFonts w:ascii="仿宋_GB2312" w:eastAsia="仿宋_GB2312" w:cs="仿宋_GB2312" w:hAnsi="仿宋_GB2312" w:hint="eastAsia"/>
          <w:sz w:val="32"/>
          <w:szCs w:val="32"/>
        </w:rPr>
        <w:t>4、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ind w:firstLineChars="200" w:firstLine="640"/>
        <w:rPr>
          <w:rFonts w:ascii="宋体-方正超大字符集" w:eastAsia="宋体-方正超大字符集" w:cs="宋体-方正超大字符集" w:hAnsi="宋体-方正超大字符集"/>
          <w:b/>
          <w:bCs/>
          <w:sz w:val="32"/>
          <w:szCs w:val="32"/>
        </w:rPr>
      </w:pPr>
      <w:r>
        <w:rPr>
          <w:rFonts w:ascii="宋体-方正超大字符集" w:eastAsia="宋体-方正超大字符集" w:cs="宋体-方正超大字符集" w:hAnsi="宋体-方正超大字符集" w:hint="eastAsia"/>
          <w:b/>
          <w:bCs/>
          <w:sz w:val="32"/>
          <w:szCs w:val="32"/>
        </w:rPr>
        <w:t>九、其他需要说明的事项：</w:t>
      </w:r>
      <w:r>
        <w:rPr>
          <w:rFonts w:ascii="仿宋_GB2312" w:eastAsia="仿宋_GB2312" w:cs="仿宋_GB2312" w:hAnsi="仿宋_GB2312" w:hint="eastAsia"/>
          <w:sz w:val="32"/>
          <w:szCs w:val="32"/>
        </w:rPr>
        <w:t>我单位没有安排政府性基金预算和国有资本经营预算财政拨款，特此说明。</w:t>
      </w:r>
    </w:p>
    <w:sectPr>
      <w:pgSz w:w="16838" w:h="11906" w:orient="landscape"/>
      <w:pgMar w:top="1800" w:right="1440" w:bottom="1800"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86"/>
    <w:family w:val="auto"/>
    <w:pitch w:val="variable"/>
    <w:sig w:usb0="E0002AFF" w:usb1="C0007841" w:usb2="00000009" w:usb3="00000000" w:csb0="400001FF" w:csb1="FFFF0000"/>
  </w:font>
  <w:font w:name="宋体">
    <w:panose1 w:val="02010600030101010101"/>
    <w:charset w:val="86"/>
    <w:family w:val="auto"/>
    <w:pitch w:val="variable"/>
    <w:sig w:usb0="00000003" w:usb1="288F0000" w:usb2="00000006" w:usb3="00000000" w:csb0="00040001" w:csb1="00000000"/>
  </w:font>
  <w:font w:name="方正小标宋_GBK">
    <w:altName w:val="宋体"/>
    <w:panose1 w:val="00000000000000000000"/>
    <w:charset w:val="86"/>
    <w:family w:val="script"/>
    <w:pitch w:val="variable"/>
    <w:sig w:usb0="00000000" w:usb1="0000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方正仿宋_GBK">
    <w:altName w:val="宋体"/>
    <w:panose1 w:val="00000000000000000000"/>
    <w:charset w:val="86"/>
    <w:family w:val="roman"/>
    <w:pitch w:val="variable"/>
    <w:sig w:usb0="00000000" w:usb1="00000000" w:usb2="00000000" w:usb3="00000000" w:csb0="00040001" w:csb1="00000000"/>
  </w:font>
  <w:font w:name="方正书宋_GBK">
    <w:altName w:val="宋体"/>
    <w:panose1 w:val="00000000000000000000"/>
    <w:charset w:val="86"/>
    <w:family w:val="auto"/>
    <w:pitch w:val="variable"/>
    <w:sig w:usb0="00000000" w:usb1="00000000" w:usb2="00000010" w:usb3="00000000" w:csb0="00040000" w:csb1="00000000"/>
  </w:font>
  <w:font w:name="仿宋_GB2312">
    <w:altName w:val="仿宋"/>
    <w:panose1 w:val="02010609030101010101"/>
    <w:charset w:val="86"/>
    <w:family w:val="modern"/>
    <w:pitch w:val="variable"/>
    <w:sig w:usb0="00000001" w:usb1="080E0000" w:usb2="00000000" w:usb3="00000000" w:csb0="00040000" w:csb1="00000000"/>
  </w:font>
  <w:font w:name="方正楷体_GBK">
    <w:altName w:val="宋体"/>
    <w:panose1 w:val="00000000000000000000"/>
    <w:charset w:val="86"/>
    <w:family w:val="roman"/>
    <w:pitch w:val="variable"/>
    <w:sig w:usb0="00000000" w:usb1="00000000" w:usb2="00000000" w:usb3="00000000" w:csb0="00000000" w:csb1="00000000"/>
  </w:font>
  <w:font w:name="宋体-方正超大字符集">
    <w:altName w:val="宋体"/>
    <w:panose1 w:val="00000000000000000000"/>
    <w:charset w:val="86"/>
    <w:family w:val="script"/>
    <w:pitch w:val="variable"/>
    <w:sig w:usb0="00000000" w:usb1="00000000" w:usb2="00000010" w:usb3="00000000" w:csb0="00040000" w:csb1="00000000"/>
  </w:font>
  <w:font w:name="Arial">
    <w:panose1 w:val="020B0604020202020204"/>
    <w:charset w:val="00"/>
    <w:family w:val="auto"/>
    <w:pitch w:val="variable"/>
    <w:sig w:usb0="00007A87" w:usb1="80000000" w:usb2="00000008" w:usb3="00000000" w:csb0="400001FF" w:csb1="FFFF0000"/>
  </w:font>
  <w:font w:name="Calibri">
    <w:panose1 w:val="020F0502020204030204"/>
    <w:charset w:val="00"/>
    <w:family w:val="swiss"/>
    <w:pitch w:val="variable"/>
    <w:sig w:usb0="E10002FF" w:usb1="4000ACFF" w:usb2="00000009"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SuppressIndentation/>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jc w:val="both"/>
    </w:pPr>
    <w:rPr>
      <w:rFonts w:ascii="Calibri" w:eastAsia="宋体" w:cs="黑体"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jc w:val="left"/>
    </w:pPr>
    <w:rPr>
      <w:rFonts w:ascii="Times New Roman" w:cs="Times New Roman" w:hAnsi="Times New Roman"/>
      <w:sz w:val="18"/>
      <w:szCs w:val="18"/>
    </w:rPr>
  </w:style>
  <w:style w:type="paragraph" w:styleId="16">
    <w:name w:val="header"/>
    <w:basedOn w:val="0"/>
    <w:pPr>
      <w:pBdr>
        <w:bottom w:val="single" w:sz="6" w:space="1" w:color="auto"/>
      </w:pBdr>
      <w:tabs>
        <w:tab w:val="center" w:pos="4153"/>
        <w:tab w:val="right" w:pos="8306"/>
      </w:tabs>
      <w:snapToGrid w:val="0"/>
      <w:jc w:val="center"/>
    </w:pPr>
    <w:rPr>
      <w:rFonts w:ascii="Times New Roman" w:cs="Times New Roman" w:hAnsi="Times New Roman"/>
      <w:sz w:val="18"/>
      <w:szCs w:val="18"/>
    </w:rPr>
  </w:style>
  <w:style w:type="paragraph" w:styleId="17">
    <w:name w:val="toc 1"/>
    <w:basedOn w:val="0"/>
    <w:next w:val="0"/>
    <w:rPr>
      <w:rFonts w:ascii="Times New Roman" w:cs="Times New Roman" w:hAnsi="Times New Roman"/>
      <w:szCs w:val="24"/>
    </w:rPr>
  </w:style>
  <w:style w:type="paragraph" w:styleId="18">
    <w:name w:val="toc 2"/>
    <w:basedOn w:val="0"/>
    <w:next w:val="0"/>
    <w:pPr>
      <w:ind w:leftChars="200" w:left="200"/>
    </w:pPr>
    <w:rPr>
      <w:rFonts w:ascii="Times New Roman" w:cs="Times New Roman" w:hAnsi="Times New Roman"/>
      <w:szCs w:val="24"/>
    </w:rPr>
  </w:style>
  <w:style w:type="paragraph" w:customStyle="1" w:styleId="19">
    <w:name w:val="[Normal]"/>
    <w:pPr>
      <w:widowControl w:val="0"/>
      <w:autoSpaceDE w:val="0"/>
      <w:autoSpaceDN w:val="0"/>
      <w:adjustRightInd w:val="0"/>
    </w:pPr>
    <w:rPr>
      <w:rFonts w:ascii="宋体" w:eastAsia="宋体" w:cs="Times New Roman" w:hAnsi="宋体"/>
      <w:sz w:val="24"/>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219ABCDE-2DA9-4630-8991-0DE74B13BC91}">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0</TotalTime>
  <Application>Yozo_Office27021597764231179</Application>
  <Pages>13</Pages>
  <Words>0</Words>
  <Characters>4338</Characters>
  <Lines>0</Lines>
  <Paragraphs>67</Paragraphs>
  <CharactersWithSpaces>5785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河北省2017年部门预算信息公开</dc:title>
  <dc:creator>guest</dc:creator>
  <cp:lastModifiedBy>Administrator</cp:lastModifiedBy>
  <cp:revision>28</cp:revision>
  <cp:lastPrinted>2017-02-07T01:57:00Z</cp:lastPrinted>
  <dcterms:created xsi:type="dcterms:W3CDTF">2017-01-20T01:29:00Z</dcterms:created>
  <dcterms:modified xsi:type="dcterms:W3CDTF">2024-01-02T06:37:58Z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2052-10.1.0.6748</vt:lpwstr>
  </property>
</Properties>
</file>