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方正小标宋简体" w:eastAsia="方正小标宋简体" w:cs="方正小标宋简体" w:hAnsi="方正小标宋简体"/>
          <w:sz w:val="44"/>
        </w:rPr>
      </w:pPr>
      <w:r>
        <w:rPr>
          <w:rFonts w:ascii="方正小标宋简体" w:eastAsia="方正小标宋简体" w:cs="方正小标宋简体" w:hAnsi="方正小标宋简体" w:hint="eastAsia"/>
          <w:sz w:val="44"/>
        </w:rPr>
        <w:t>中共深泽县委机构编制委员会办公室</w:t>
      </w:r>
    </w:p>
    <w:p>
      <w:pPr>
        <w:jc w:val="center"/>
        <w:rPr>
          <w:rFonts w:ascii="方正小标宋_GBK" w:eastAsia="方正小标宋_GBK" w:cs="方正小标宋_GBK" w:hAnsi="方正小标宋_GBK"/>
          <w:sz w:val="44"/>
        </w:rPr>
      </w:pPr>
      <w:r>
        <w:rPr>
          <w:rFonts w:ascii="方正小标宋简体" w:eastAsia="方正小标宋简体" w:cs="方正小标宋简体" w:hAnsi="方正小标宋简体" w:hint="eastAsia"/>
          <w:sz w:val="44"/>
        </w:rPr>
        <w:t>2020年部门预算信息公开情况说明</w:t>
      </w:r>
    </w:p>
    <w:p>
      <w:pPr>
        <w:ind w:firstLine="640"/>
        <w:rPr>
          <w:rFonts w:ascii="Times New Roman" w:eastAsia="Times New Roman" w:cs="Times New Roman" w:hAnsi="Times New Roman"/>
          <w:sz w:val="32"/>
        </w:rPr>
      </w:pPr>
    </w:p>
    <w:p>
      <w:pPr>
        <w:ind w:firstLine="640"/>
        <w:rPr>
          <w:rFonts w:ascii="Times New Roman" w:eastAsia="Times New Roman" w:cs="Times New Roman" w:hAnsi="Times New Roman"/>
          <w:sz w:val="32"/>
        </w:rPr>
      </w:pPr>
      <w:r>
        <w:rPr>
          <w:rFonts w:ascii="宋体" w:cs="宋体" w:hAnsi="宋体"/>
          <w:sz w:val="32"/>
        </w:rPr>
        <w:t>按照《中华人民共和国</w:t>
      </w:r>
      <w:bookmarkStart w:id="0" w:name="_GoBack"/>
      <w:bookmarkEnd w:id="0"/>
      <w:r>
        <w:rPr>
          <w:rFonts w:ascii="宋体" w:cs="宋体" w:hAnsi="宋体"/>
          <w:sz w:val="32"/>
        </w:rPr>
        <w:t>预算法》、《地方预决算公开操作规程》和《</w:t>
      </w:r>
      <w:r>
        <w:rPr>
          <w:rFonts w:ascii="宋体" w:cs="宋体" w:hAnsi="宋体" w:hint="eastAsia"/>
          <w:sz w:val="32"/>
        </w:rPr>
        <w:t>深泽县县级</w:t>
      </w:r>
      <w:r>
        <w:rPr>
          <w:rFonts w:ascii="宋体" w:cs="宋体" w:hAnsi="宋体"/>
          <w:sz w:val="32"/>
        </w:rPr>
        <w:t>预算公开办法》规定，现将</w:t>
      </w:r>
      <w:r>
        <w:rPr>
          <w:rFonts w:ascii="宋体" w:cs="宋体" w:hAnsi="宋体" w:hint="eastAsia"/>
          <w:sz w:val="32"/>
        </w:rPr>
        <w:t>中共深泽县委机构编制委员会办公室</w:t>
      </w:r>
      <w:r>
        <w:rPr>
          <w:rFonts w:ascii="Times New Roman" w:eastAsia="Times New Roman" w:cs="Times New Roman" w:hAnsi="Times New Roman"/>
          <w:sz w:val="32"/>
        </w:rPr>
        <w:t>2020</w:t>
      </w:r>
      <w:r>
        <w:rPr>
          <w:rFonts w:ascii="宋体" w:cs="宋体" w:hAnsi="宋体"/>
          <w:sz w:val="32"/>
        </w:rPr>
        <w:t>年部门预算公开如下：</w:t>
      </w:r>
    </w:p>
    <w:p>
      <w:pPr>
        <w:ind w:firstLine="640"/>
        <w:rPr>
          <w:rFonts w:ascii="黑体" w:eastAsia="黑体" w:hAnsi="黑体"/>
          <w:sz w:val="32"/>
        </w:rPr>
      </w:pPr>
      <w:r>
        <w:rPr>
          <w:rFonts w:ascii="黑体" w:eastAsia="黑体" w:hAnsi="黑体"/>
          <w:sz w:val="32"/>
        </w:rPr>
        <w:t>一、部门职责及机构设置情况</w:t>
      </w:r>
    </w:p>
    <w:p>
      <w:pPr>
        <w:spacing w:line="499" w:lineRule="auto"/>
        <w:ind w:firstLine="560"/>
        <w:jc w:val="left"/>
        <w:rPr>
          <w:rFonts w:ascii="宋体" w:cs="宋体" w:hAnsi="宋体"/>
          <w:sz w:val="32"/>
        </w:rPr>
      </w:pPr>
      <w:r>
        <w:rPr>
          <w:rFonts w:ascii="仿宋" w:eastAsia="仿宋" w:cs="仿宋" w:hAnsi="仿宋"/>
          <w:b/>
          <w:sz w:val="32"/>
        </w:rPr>
        <w:t>部门职责：</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（一）贯彻落实党中央和省市委关于行政管理体制和机构改革以及机构编制管理的政策法规，拟订相关制度、措施等规范性文件并监督实施。管理和指导县纪委监察机关及其派驻纪检监察组、县委各机关、县人大</w:t>
      </w:r>
      <w:r>
        <w:rPr>
          <w:rFonts w:ascii="仿宋_GB2312" w:eastAsia="仿宋_GB2312" w:cs="Times New Roman" w:hAnsi="Times New Roman"/>
          <w:sz w:val="32"/>
        </w:rPr>
        <w:t>常委会</w:t>
      </w:r>
      <w:r>
        <w:rPr>
          <w:rFonts w:ascii="仿宋_GB2312" w:eastAsia="仿宋_GB2312" w:cs="Times New Roman" w:hAnsi="Times New Roman" w:hint="eastAsia"/>
          <w:sz w:val="32"/>
        </w:rPr>
        <w:t>机关、县政府各部门、县政协机关、人民团体县级机关（以下简称“党政群机关”），以及事业单位机构编制工作。组织开展行政管理体制改革、事业单位管理体制改革及机构编制工作基础性、创新性和前瞻性研究。</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（二）组织拟订全县行政管理体制改革和县委、县政府机构改革方案并组织实施。负责全县行政管理体制和机构改革以及机构编制管理工作；负责行政执法体制改革工作。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三）按照规定权限，负责县级党政群机关以及部门派出机构的职能配置、机构设置、人员编制和领导职数管理工作；负责协调县委、县政府各部门职能配置及其调整，协调县委、县政府各部门之间以及行政部门和乡镇之间职责分工；负责需要承办的省以下垂直管理部门或双重管理部门（单位）机构编制有关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四）组织拟订全县事业单位管理体制改革和机构改革方案。拟订各类事业单位人员编制管理办法并组织实施。按照管理权限，负责县委、县政府直属事业单位和部门所属事业单位的职能配置、机构设置、人员编制和领导职数管理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五）指导各部门、乡镇的行政管理体制改革、事业单位管理体制改革和机构改革工作，审核机构改革方案。审核各部门、乡镇机构编制分类；负责全县党政群机关行政机构、事业单位和新设事业单位机构编制管理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（六）负责全县党政群机关统一社会信用代码管理工作，负责全县事业单位法人管理和监督检查工作。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（七）负责全县开发区（园区）行政管理体制改革工作。组织拟订开发区（园区）机构编制管理办法并组织实施；负责全县开发区（园区）职能配置、机构设置、人员编制和领导职数审核及上报工作。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八）负责全县机构编制的总量控制、动态管理。组织拟订县本级年度编制使用计划，审核县直及乡镇机关事业单位招录、招聘和政策性安置等用编计划；负责全县机关事业单位编制使用核准；负责机构编制实名制管理工作；建立健全机构编制部门与有关部门的协调配合约束机制。</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九）负责跟踪评估、监督检查全县各级行政、事业单位管理体制改革、机构改革及机构编制政策执行情况；负责受理违反机构编制法规、纪律的检举、控告和投诉，对违反机构编制法规、纪律问题进行调查处理。</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（十）负责全县机构编制电子政务和信息化工作。负责全县机构编制统计工作；负责机构编制网站的管理、使用和维护；负责党政群机关、事业单位和其他非营利性单位网上名称管理工作。</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（十一）完成县委、县政府和县委机构编制委员会交办的其他任务。</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（十二）有关职责分工。</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县委编办负责全县公益类事业单位管理体制改革工作。县发展和改革局负责生产经营类事业单位管理体制改革工作。</w:t>
      </w:r>
    </w:p>
    <w:p>
      <w:pPr>
        <w:spacing w:line="499" w:lineRule="auto"/>
        <w:ind w:firstLine="560"/>
        <w:jc w:val="left"/>
        <w:rPr>
          <w:rFonts w:ascii="宋体" w:cs="宋体" w:hAnsi="宋体"/>
          <w:sz w:val="28"/>
        </w:rPr>
      </w:pPr>
    </w:p>
    <w:p>
      <w:pPr>
        <w:ind w:firstLine="643"/>
        <w:rPr>
          <w:rFonts w:ascii="仿宋" w:eastAsia="仿宋" w:cs="仿宋" w:hAnsi="仿宋"/>
          <w:b/>
          <w:sz w:val="32"/>
        </w:rPr>
      </w:pPr>
      <w:r>
        <w:rPr>
          <w:rFonts w:ascii="仿宋" w:eastAsia="仿宋" w:cs="仿宋" w:hAnsi="仿宋"/>
          <w:b/>
          <w:sz w:val="32"/>
        </w:rPr>
        <w:t>机构设置：</w:t>
      </w:r>
    </w:p>
    <w:p>
      <w:pPr>
        <w:jc w:val="center"/>
        <w:rPr>
          <w:rFonts w:ascii="Times New Roman" w:eastAsia="Times New Roman" w:cs="Times New Roman" w:hAnsi="Times New Roman"/>
          <w:sz w:val="32"/>
        </w:rPr>
      </w:pPr>
      <w:r>
        <w:rPr>
          <w:rFonts w:ascii="宋体" w:cs="宋体" w:hAnsi="宋体"/>
          <w:sz w:val="32"/>
        </w:rPr>
        <w:t>部门机构设置情况</w:t>
      </w:r>
    </w:p>
    <w:tbl>
      <w:tblPr>
        <w:jc w:val="center"/>
        <w:tblW w:w="9729"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417"/>
        <w:gridCol w:w="1134"/>
        <w:gridCol w:w="1276"/>
        <w:gridCol w:w="2902"/>
      </w:tblGrid>
      <w:tr>
        <w:trPr>
          <w:trHeight w:val="390"/>
        </w:trPr>
        <w:tc>
          <w:tcPr>
            <w:tcW w:w="4417"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b/>
              </w:rPr>
              <w:t>单位名称</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b/>
              </w:rPr>
              <w:t>单位性质</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b/>
              </w:rPr>
              <w:t>单位规格</w:t>
            </w:r>
          </w:p>
        </w:tc>
        <w:tc>
          <w:tcPr>
            <w:tcW w:w="2902"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b/>
              </w:rPr>
              <w:t>经费保障形式</w:t>
            </w:r>
          </w:p>
        </w:tc>
      </w:tr>
      <w:tr>
        <w:trPr>
          <w:trHeight w:val="559"/>
        </w:trPr>
        <w:tc>
          <w:tcPr>
            <w:tcW w:w="4417"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134"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1276"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c>
          <w:tcPr>
            <w:tcW w:w="2902"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tc>
      </w:tr>
      <w:tr>
        <w:tc>
          <w:tcPr>
            <w:tcW w:w="4417"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left"/>
              <w:rPr>
                <w:rFonts w:ascii="宋体" w:cs="宋体" w:hAnsi="宋体"/>
                <w:sz w:val="22"/>
              </w:rPr>
            </w:pPr>
            <w:r>
              <w:rPr>
                <w:rFonts w:ascii="宋体" w:cs="宋体" w:hAnsi="宋体"/>
              </w:rPr>
              <w:t>中共深泽县委机构编制委员会办公室</w:t>
            </w:r>
          </w:p>
        </w:tc>
        <w:tc>
          <w:tcPr>
            <w:tcW w:w="1134"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rPr>
              <w:t>行政</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rPr>
              <w:t>正科级</w:t>
            </w:r>
          </w:p>
        </w:tc>
        <w:tc>
          <w:tcPr>
            <w:tcW w:w="2902" w:type="dxa"/>
            <w:tcBorders>
              <w:top w:val="single" w:sz="6" w:space="0" w:color="000000"/>
              <w:left w:val="single" w:sz="6" w:space="0" w:color="000000"/>
              <w:bottom w:val="single" w:sz="6" w:space="0" w:color="000000"/>
              <w:right w:val="single" w:sz="6" w:space="0" w:color="000000"/>
            </w:tcBorders>
            <w:shd w:val="clear" w:color="000000" w:fill="FFFFFF"/>
            <w:vAlign w:val="center"/>
          </w:tcPr>
          <w:p>
            <w:pPr>
              <w:spacing w:line="300" w:lineRule="auto"/>
              <w:jc w:val="center"/>
              <w:rPr>
                <w:rFonts w:ascii="宋体" w:cs="宋体" w:hAnsi="宋体"/>
              </w:rPr>
            </w:pPr>
            <w:r>
              <w:rPr>
                <w:rFonts w:ascii="宋体" w:cs="宋体" w:hAnsi="宋体"/>
              </w:rPr>
              <w:t>财政拨款</w:t>
            </w:r>
          </w:p>
        </w:tc>
      </w:tr>
    </w:tbl>
    <w:p>
      <w:pPr>
        <w:ind w:firstLine="640"/>
        <w:rPr>
          <w:rFonts w:ascii="黑体" w:eastAsia="黑体" w:hAnsi="黑体"/>
          <w:sz w:val="32"/>
        </w:rPr>
      </w:pPr>
    </w:p>
    <w:p>
      <w:pPr>
        <w:ind w:firstLine="640"/>
        <w:rPr>
          <w:rFonts w:ascii="黑体" w:eastAsia="黑体" w:hAnsi="黑体"/>
          <w:sz w:val="32"/>
        </w:rPr>
      </w:pPr>
      <w:r>
        <w:rPr>
          <w:rFonts w:ascii="黑体" w:eastAsia="黑体" w:hAnsi="黑体"/>
          <w:sz w:val="32"/>
        </w:rPr>
        <w:t>二、部门预算安排的总体情况</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按照预算管理有关规定，目前我县部门预算的编制实行综合预算管理，即全部收入和支出都反映在预算中。中共深泽县委机构编制委员会办公室及所属事业单位的收支包含在部门预算中。</w:t>
      </w:r>
    </w:p>
    <w:p>
      <w:pPr>
        <w:ind w:firstLine="640"/>
        <w:rPr>
          <w:rFonts w:ascii="黑体" w:eastAsia="黑体" w:cs="Times New Roman" w:hAnsi="黑体"/>
          <w:sz w:val="32"/>
        </w:rPr>
      </w:pPr>
      <w:r>
        <w:rPr>
          <w:rFonts w:ascii="黑体" w:eastAsia="黑体" w:cs="Times New Roman" w:hAnsi="黑体" w:hint="eastAsia"/>
          <w:sz w:val="32"/>
        </w:rPr>
        <w:t>1、收入说明</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反映本部门当年全部收入。2020年预算收入82.54万元，其中：一般公共预算收入82.54万元，基金预算收入0万元，财政专户核拨收入0万元，其他来源收入0万元。</w:t>
      </w:r>
    </w:p>
    <w:p>
      <w:pPr>
        <w:ind w:firstLine="640"/>
        <w:rPr>
          <w:rFonts w:ascii="黑体" w:eastAsia="黑体" w:cs="Times New Roman" w:hAnsi="黑体"/>
          <w:sz w:val="32"/>
        </w:rPr>
      </w:pPr>
      <w:r>
        <w:rPr>
          <w:rFonts w:ascii="黑体" w:eastAsia="黑体" w:cs="Times New Roman" w:hAnsi="黑体"/>
          <w:sz w:val="32"/>
        </w:rPr>
        <w:t>2、支出说明</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收支预算总表支出栏、基本支出表、项目支出表按经济分类和支出功能分类科目编制，反映中共深泽县委机构编制委员会办公室年度部门预算中支出预算的总体情况。2020年部门支出预算为82.54万元，其中基本支出74.54万元，包括人员经费66.16万元和日常公用经费8.38</w:t>
      </w:r>
      <w:r>
        <w:rPr>
          <w:rFonts w:ascii="仿宋_GB2312" w:eastAsia="仿宋_GB2312" w:cs="宋体" w:hAnsi="宋体" w:hint="eastAsia"/>
          <w:sz w:val="32"/>
        </w:rPr>
        <w:t>万元；项目支出</w:t>
      </w:r>
      <w:r>
        <w:rPr>
          <w:rFonts w:ascii="仿宋_GB2312" w:eastAsia="仿宋_GB2312" w:cs="Times New Roman" w:hAnsi="Times New Roman" w:hint="eastAsia"/>
          <w:sz w:val="32"/>
        </w:rPr>
        <w:t>8</w:t>
      </w:r>
      <w:r>
        <w:rPr>
          <w:rFonts w:ascii="仿宋_GB2312" w:eastAsia="仿宋_GB2312" w:cs="宋体" w:hAnsi="宋体" w:hint="eastAsia"/>
          <w:sz w:val="32"/>
        </w:rPr>
        <w:t>万元，</w:t>
      </w:r>
      <w:r>
        <w:rPr>
          <w:rFonts w:ascii="仿宋_GB2312" w:eastAsia="仿宋_GB2312" w:cs="宋体" w:hAnsi="宋体" w:hint="eastAsia"/>
          <w:color w:val="000000"/>
          <w:sz w:val="32"/>
        </w:rPr>
        <w:t>主</w:t>
      </w:r>
      <w:r>
        <w:rPr>
          <w:rFonts w:ascii="仿宋_GB2312" w:eastAsia="仿宋_GB2312" w:cs="Times New Roman" w:hAnsi="Times New Roman" w:hint="eastAsia"/>
          <w:sz w:val="32"/>
        </w:rPr>
        <w:t>要为综合事务管理支出5</w:t>
      </w:r>
      <w:r>
        <w:rPr>
          <w:rFonts w:ascii="仿宋_GB2312" w:eastAsia="仿宋_GB2312" w:cs="宋体" w:hAnsi="宋体" w:hint="eastAsia"/>
          <w:color w:val="000000"/>
          <w:sz w:val="32"/>
        </w:rPr>
        <w:t>万元，</w:t>
      </w:r>
      <w:r>
        <w:rPr>
          <w:rFonts w:ascii="仿宋_GB2312" w:eastAsia="仿宋_GB2312" w:cs="Times New Roman" w:hAnsi="Times New Roman" w:hint="eastAsia"/>
          <w:sz w:val="32"/>
        </w:rPr>
        <w:t>机构编制监管支出3万元，其他支出0万元。</w:t>
      </w:r>
    </w:p>
    <w:p>
      <w:pPr>
        <w:ind w:firstLine="640"/>
        <w:rPr>
          <w:rFonts w:ascii="黑体" w:eastAsia="黑体" w:cs="Times New Roman" w:hAnsi="黑体"/>
          <w:sz w:val="32"/>
        </w:rPr>
      </w:pPr>
      <w:r>
        <w:rPr>
          <w:rFonts w:ascii="黑体" w:eastAsia="黑体" w:cs="Times New Roman" w:hAnsi="黑体"/>
          <w:sz w:val="32"/>
        </w:rPr>
        <w:t>3、比上年增减情况</w:t>
      </w:r>
    </w:p>
    <w:p>
      <w:pPr>
        <w:ind w:firstLine="640"/>
        <w:rPr>
          <w:rFonts w:ascii="仿宋_GB2312" w:eastAsia="仿宋_GB2312" w:cs="Times New Roman" w:hAnsi="Times New Roman"/>
          <w:sz w:val="32"/>
        </w:rPr>
      </w:pPr>
      <w:r>
        <w:rPr>
          <w:rFonts w:ascii="仿宋_GB2312" w:eastAsia="仿宋_GB2312" w:cs="Times New Roman" w:hAnsi="Times New Roman" w:hint="eastAsia"/>
          <w:sz w:val="32"/>
        </w:rPr>
        <w:t>2020年部门预算收支安排82.54万元，较2019年增加4.43万元，其中：基本支出增加4.43万元，主要是人员经费和日常公用经费调整；项目支出减少2万元，主要是项目支出减少；其他支出无增减变化。</w:t>
      </w:r>
    </w:p>
    <w:p>
      <w:pPr>
        <w:ind w:firstLine="960"/>
        <w:jc w:val="left"/>
        <w:rPr>
          <w:rFonts w:ascii="黑体" w:eastAsia="黑体" w:hAnsi="黑体"/>
          <w:sz w:val="32"/>
        </w:rPr>
      </w:pPr>
      <w:r>
        <w:rPr>
          <w:rFonts w:ascii="黑体" w:eastAsia="黑体" w:hAnsi="黑体"/>
          <w:sz w:val="32"/>
        </w:rPr>
        <w:t>三、机关运行经费安排情况</w:t>
      </w:r>
    </w:p>
    <w:p>
      <w:pPr>
        <w:ind w:left="198" w:firstLine="640"/>
        <w:jc w:val="left"/>
        <w:rPr>
          <w:rFonts w:ascii="仿宋_GB2312" w:eastAsia="仿宋_GB2312" w:cs="Times New Roman" w:hAnsi="Times New Roman"/>
          <w:color w:val="000000"/>
          <w:sz w:val="32"/>
        </w:rPr>
      </w:pPr>
      <w:r>
        <w:rPr>
          <w:rFonts w:ascii="仿宋_GB2312" w:eastAsia="仿宋_GB2312" w:cs="Times New Roman" w:hAnsi="Times New Roman" w:hint="eastAsia"/>
          <w:sz w:val="32"/>
        </w:rPr>
        <w:t>2020年，我部门机关运行经费共计安排8.38万元，主要用于保证机关正常运转的办公费、工会经费、福利费、其他交通费用等支出。</w:t>
      </w:r>
    </w:p>
    <w:p>
      <w:pPr>
        <w:ind w:left="198" w:firstLine="640"/>
        <w:jc w:val="left"/>
        <w:rPr>
          <w:rFonts w:ascii="黑体" w:eastAsia="黑体" w:hAnsi="黑体"/>
          <w:sz w:val="32"/>
        </w:rPr>
      </w:pPr>
      <w:r>
        <w:rPr>
          <w:rFonts w:ascii="黑体" w:eastAsia="黑体" w:hAnsi="黑体"/>
          <w:sz w:val="32"/>
        </w:rPr>
        <w:t>四、财政拨款“三公”经费预算情况及增减变化原因</w:t>
      </w:r>
    </w:p>
    <w:p>
      <w:pPr>
        <w:ind w:left="198" w:firstLine="640"/>
        <w:jc w:val="left"/>
        <w:rPr>
          <w:rFonts w:ascii="黑体" w:eastAsia="黑体" w:hAnsi="黑体"/>
          <w:sz w:val="32"/>
        </w:rPr>
      </w:pPr>
      <w:r>
        <w:rPr>
          <w:rFonts w:ascii="仿宋_GB2312" w:eastAsia="仿宋_GB2312" w:cs="Times New Roman" w:hAnsi="Times New Roman" w:hint="eastAsia"/>
          <w:sz w:val="32"/>
        </w:rPr>
        <w:t>2020年，我部门财政拨款“三公”经费预算安排0万元，其中：因公出国（境）费0万元，与上年持平；公务用车购置及运维费0万元（其中：公务用车购置费0万元，公务用车运行维护费0万元) ，与上年持平；公务接待费0万元，与上年持平。</w:t>
      </w:r>
      <w:r>
        <w:rPr>
          <w:rFonts w:ascii="黑体" w:eastAsia="黑体" w:hAnsi="黑体"/>
          <w:sz w:val="32"/>
        </w:rPr>
        <w:t>五、预算绩效信息</w:t>
      </w:r>
    </w:p>
    <w:p>
      <w:pPr>
        <w:ind w:firstLine="643"/>
        <w:jc w:val="left"/>
        <w:rPr>
          <w:rFonts w:ascii="Times New Roman" w:eastAsia="Times New Roman" w:cs="Times New Roman" w:hAnsi="Times New Roman"/>
          <w:sz w:val="32"/>
        </w:rPr>
      </w:pPr>
      <w:r>
        <w:rPr>
          <w:rFonts w:ascii="宋体" w:cs="宋体" w:hAnsi="宋体"/>
          <w:b/>
          <w:sz w:val="32"/>
        </w:rPr>
        <w:t>第一部分</w:t>
      </w:r>
      <w:r>
        <w:rPr>
          <w:rFonts w:ascii="Times New Roman" w:eastAsia="Times New Roman" w:cs="Times New Roman" w:hAnsi="Times New Roman"/>
          <w:b/>
          <w:sz w:val="32"/>
        </w:rPr>
        <w:t xml:space="preserve">  </w:t>
      </w:r>
      <w:r>
        <w:rPr>
          <w:rFonts w:ascii="宋体" w:cs="宋体" w:hAnsi="宋体"/>
          <w:b/>
          <w:sz w:val="32"/>
        </w:rPr>
        <w:t>部门整体绩效目标</w:t>
      </w:r>
    </w:p>
    <w:p>
      <w:pPr>
        <w:ind w:left="198" w:firstLine="643"/>
        <w:jc w:val="left"/>
        <w:rPr>
          <w:rFonts w:ascii="Times New Roman" w:eastAsia="Times New Roman" w:cs="Times New Roman" w:hAnsi="Times New Roman"/>
          <w:b/>
          <w:sz w:val="32"/>
        </w:rPr>
      </w:pPr>
      <w:r>
        <w:rPr>
          <w:rFonts w:ascii="宋体" w:cs="宋体" w:hAnsi="宋体"/>
          <w:b/>
          <w:sz w:val="32"/>
        </w:rPr>
        <w:t>（一）总体绩效目标</w:t>
      </w:r>
    </w:p>
    <w:p>
      <w:pPr>
        <w:ind w:left="198" w:firstLine="640"/>
        <w:jc w:val="left"/>
        <w:rPr>
          <w:rFonts w:ascii="仿宋_GB2312" w:eastAsia="仿宋_GB2312" w:cs="Times New Roman" w:hAnsi="Times New Roman"/>
          <w:sz w:val="32"/>
        </w:rPr>
      </w:pPr>
      <w:r>
        <w:rPr>
          <w:rFonts w:ascii="宋体" w:cs="宋体" w:hAnsi="宋体"/>
          <w:sz w:val="32"/>
        </w:rPr>
        <w:t xml:space="preserve"> </w:t>
      </w:r>
      <w:r>
        <w:rPr>
          <w:rFonts w:ascii="仿宋_GB2312" w:eastAsia="仿宋_GB2312" w:cs="Times New Roman" w:hAnsi="Times New Roman" w:hint="eastAsia"/>
          <w:sz w:val="32"/>
        </w:rPr>
        <w:t>贯彻落实党中央、国务院关于行政管理体制机构编制管理的政策和省、市地方性法规草案并监督实施；促进政府职能转变，积极构建科学的行政管理体制；健全政府职责体系，完善公共服务体系。</w:t>
      </w:r>
    </w:p>
    <w:p>
      <w:pPr>
        <w:ind w:left="198" w:firstLine="640"/>
        <w:jc w:val="left"/>
        <w:rPr>
          <w:rFonts w:ascii="仿宋_GB2312" w:eastAsia="仿宋_GB2312" w:cs="Times New Roman" w:hAnsi="Times New Roman"/>
          <w:sz w:val="32"/>
        </w:rPr>
      </w:pPr>
      <w:r>
        <w:rPr>
          <w:rFonts w:ascii="仿宋_GB2312" w:eastAsia="仿宋_GB2312" w:cs="Times New Roman" w:hAnsi="Times New Roman" w:hint="eastAsia"/>
          <w:sz w:val="32"/>
        </w:rP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ind w:left="198" w:firstLine="640"/>
        <w:jc w:val="left"/>
        <w:rPr>
          <w:rFonts w:ascii="仿宋_GB2312" w:eastAsia="仿宋_GB2312" w:cs="Times New Roman" w:hAnsi="Times New Roman"/>
          <w:sz w:val="32"/>
        </w:rPr>
      </w:pPr>
      <w:r>
        <w:rPr>
          <w:rFonts w:ascii="仿宋_GB2312" w:eastAsia="仿宋_GB2312" w:cs="Times New Roman" w:hAnsi="Times New Roman" w:hint="eastAsia"/>
          <w:sz w:val="32"/>
        </w:rPr>
        <w:t>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ind w:left="198" w:firstLine="640"/>
        <w:jc w:val="left"/>
        <w:rPr>
          <w:rFonts w:ascii="仿宋_GB2312" w:eastAsia="仿宋_GB2312" w:cs="Times New Roman" w:hAnsi="Times New Roman"/>
          <w:sz w:val="32"/>
        </w:rPr>
      </w:pPr>
      <w:r>
        <w:rPr>
          <w:rFonts w:ascii="仿宋_GB2312" w:eastAsia="仿宋_GB2312" w:cs="Times New Roman" w:hAnsi="Times New Roman" w:hint="eastAsia"/>
          <w:sz w:val="32"/>
        </w:rPr>
        <w:t xml:space="preserve"> 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ind w:left="198" w:firstLine="640"/>
        <w:jc w:val="left"/>
        <w:rPr>
          <w:rFonts w:ascii="仿宋_GB2312" w:eastAsia="仿宋_GB2312" w:cs="Times New Roman" w:hAnsi="Times New Roman"/>
          <w:sz w:val="32"/>
        </w:rPr>
      </w:pPr>
      <w:r>
        <w:rPr>
          <w:rFonts w:ascii="仿宋_GB2312" w:eastAsia="仿宋_GB2312" w:cs="Times New Roman" w:hAnsi="Times New Roman" w:hint="eastAsia"/>
          <w:sz w:val="32"/>
        </w:rPr>
        <w:t xml:space="preserve"> 严格落实实名制数据月报制度，加强机构编制统计分析工作，强化统计数据结果运用。积极稳妥推进机构编制云平台应用。着力加强自身建设，为加快转型升级、跨越赶超步伐，全面建设幸福深泽提供强有力的体制机制保障。</w:t>
      </w:r>
    </w:p>
    <w:p>
      <w:pPr>
        <w:numPr>
          <w:ilvl w:val="0"/>
          <w:numId w:val="1"/>
        </w:numPr>
        <w:ind w:left="198" w:firstLine="643"/>
        <w:jc w:val="left"/>
        <w:rPr>
          <w:rFonts w:ascii="宋体" w:cs="宋体" w:hAnsi="宋体"/>
          <w:b/>
          <w:sz w:val="32"/>
        </w:rPr>
      </w:pPr>
      <w:r>
        <w:rPr>
          <w:rFonts w:ascii="宋体" w:cs="宋体" w:hAnsi="宋体"/>
          <w:b/>
          <w:sz w:val="32"/>
        </w:rPr>
        <w:t>分项绩效目标</w:t>
      </w:r>
    </w:p>
    <w:p>
      <w:pPr>
        <w:ind w:left="198" w:firstLine="640"/>
        <w:jc w:val="left"/>
        <w:rPr>
          <w:rFonts w:ascii="黑体" w:eastAsia="黑体" w:cs="Times New Roman" w:hAnsi="黑体"/>
          <w:sz w:val="32"/>
        </w:rPr>
      </w:pPr>
      <w:r>
        <w:rPr>
          <w:rFonts w:ascii="黑体" w:eastAsia="黑体" w:cs="Times New Roman" w:hAnsi="黑体" w:hint="eastAsia"/>
          <w:sz w:val="32"/>
        </w:rPr>
        <w:t>一、行政管理体制改革工作</w:t>
      </w:r>
    </w:p>
    <w:p>
      <w:pPr>
        <w:ind w:left="198" w:firstLine="640"/>
        <w:jc w:val="left"/>
        <w:rPr>
          <w:rFonts w:ascii="仿宋_GB2312" w:eastAsia="仿宋_GB2312" w:cs="Times New Roman" w:hAnsi="Times New Roman"/>
          <w:sz w:val="32"/>
        </w:rPr>
      </w:pPr>
      <w:r>
        <w:rPr>
          <w:rFonts w:ascii="仿宋_GB2312" w:eastAsia="仿宋_GB2312" w:cs="Times New Roman" w:hAnsi="黑体" w:hint="eastAsia"/>
          <w:sz w:val="32"/>
        </w:rPr>
        <w:t>绩效目标：</w:t>
      </w:r>
      <w:r>
        <w:rPr>
          <w:rFonts w:ascii="仿宋_GB2312" w:eastAsia="仿宋_GB2312" w:cs="Times New Roman" w:hAnsi="Times New Roman" w:hint="eastAsia"/>
          <w:sz w:val="32"/>
        </w:rPr>
        <w:t>按照县委、县政府及上级业务主管部门安排部署，围绕中心，服务大局，主动适应新常态，坚持问题导向，进一步更新工作观念，转变工作作风，创新工作方法，继续深化行政审批制度改革，加快推进政府职能转变和机构改革，积极稳妥推进事业单位分类改革，严格控制和优化配置机构编制资源，积极探索机构编制工作新思路新办法，以调整优化机构编制工作，协调推进重要领域体制机制改革，稳步推进事业单位改革，创新机构编制管理，统筹配置各类编制资源，加大机构编制动态调整力度。</w:t>
      </w:r>
    </w:p>
    <w:p>
      <w:pPr>
        <w:ind w:left="198" w:firstLine="640"/>
        <w:jc w:val="left"/>
        <w:rPr>
          <w:rFonts w:ascii="仿宋_GB2312" w:eastAsia="仿宋_GB2312" w:cs="Times New Roman" w:hAnsi="Times New Roman"/>
          <w:sz w:val="32"/>
        </w:rPr>
      </w:pPr>
      <w:r>
        <w:rPr>
          <w:rFonts w:ascii="仿宋_GB2312" w:eastAsia="仿宋_GB2312" w:cs="Times New Roman" w:hAnsi="Times New Roman" w:hint="eastAsia"/>
          <w:sz w:val="32"/>
        </w:rPr>
        <w:t>绩效指标：行政改革目标完成率、事业改革目标完成率</w:t>
      </w:r>
    </w:p>
    <w:p>
      <w:pPr>
        <w:ind w:left="198" w:firstLine="640"/>
        <w:jc w:val="left"/>
        <w:rPr>
          <w:rFonts w:ascii="黑体" w:eastAsia="黑体" w:cs="Times New Roman" w:hAnsi="黑体"/>
          <w:sz w:val="32"/>
        </w:rPr>
      </w:pPr>
      <w:r>
        <w:rPr>
          <w:rFonts w:ascii="黑体" w:eastAsia="黑体" w:cs="Times New Roman" w:hAnsi="黑体" w:hint="eastAsia"/>
          <w:sz w:val="32"/>
        </w:rPr>
        <w:t>二、机构编制管理工作</w:t>
      </w:r>
    </w:p>
    <w:p>
      <w:pPr>
        <w:ind w:left="198" w:firstLine="640"/>
        <w:jc w:val="left"/>
        <w:rPr>
          <w:rFonts w:ascii="Times New Roman" w:eastAsia="Times New Roman" w:cs="Times New Roman" w:hAnsi="Times New Roman"/>
          <w:sz w:val="32"/>
        </w:rPr>
      </w:pPr>
      <w:r>
        <w:rPr>
          <w:rFonts w:ascii="仿宋_GB2312" w:eastAsia="仿宋_GB2312" w:cs="Times New Roman" w:hAnsi="黑体" w:hint="eastAsia"/>
          <w:sz w:val="32"/>
        </w:rPr>
        <w:t>绩效目标：</w:t>
      </w:r>
      <w:r>
        <w:rPr>
          <w:rFonts w:ascii="仿宋_GB2312" w:eastAsia="仿宋_GB2312" w:cs="Times New Roman" w:hAnsi="Times New Roman" w:hint="eastAsia"/>
          <w:sz w:val="32"/>
        </w:rPr>
        <w:t>全面完成县级机构改革，按照上级统一部署，积极推动乡镇（街道）基层管理体制机制改革，深化推进审批服务便民化工作；统筹推进综合行政执法改革，按照上级关于深化5大领域综合行政执法改革的部署和要求配合有关部门制度改革实施意见，统筹配置行政执法职能和执法资源，制定机构编制调整方案；积极探索开发区管理体制改革。</w:t>
      </w:r>
    </w:p>
    <w:p>
      <w:pPr>
        <w:ind w:firstLineChars="200" w:firstLine="640"/>
        <w:jc w:val="left"/>
        <w:rPr>
          <w:rFonts w:ascii="仿宋_GB2312" w:eastAsia="仿宋_GB2312" w:cs="Times New Roman" w:hAnsi="Times New Roman"/>
          <w:sz w:val="32"/>
        </w:rPr>
      </w:pPr>
      <w:r>
        <w:rPr>
          <w:rFonts w:ascii="Times New Roman" w:cs="Times New Roman" w:hAnsi="Times New Roman" w:hint="eastAsia"/>
          <w:sz w:val="32"/>
        </w:rPr>
        <w:t>绩效指标：</w:t>
      </w:r>
      <w:r>
        <w:rPr>
          <w:rFonts w:ascii="仿宋_GB2312" w:eastAsia="仿宋_GB2312" w:cs="Times New Roman" w:hAnsi="Times New Roman" w:hint="eastAsia"/>
          <w:sz w:val="32"/>
        </w:rPr>
        <w:t>实名制管理推行率、统计上报工作完成率、事业单位登记管理率</w:t>
      </w:r>
    </w:p>
    <w:p>
      <w:pPr>
        <w:ind w:firstLineChars="200" w:firstLine="640"/>
        <w:jc w:val="left"/>
        <w:rPr>
          <w:rFonts w:ascii="黑体" w:eastAsia="黑体" w:cs="Times New Roman" w:hAnsi="黑体"/>
          <w:sz w:val="32"/>
        </w:rPr>
      </w:pPr>
      <w:r>
        <w:rPr>
          <w:rFonts w:ascii="宋体" w:cs="宋体" w:hAnsi="宋体" w:hint="eastAsia"/>
          <w:sz w:val="32"/>
        </w:rPr>
        <w:t>三、</w:t>
      </w:r>
      <w:r>
        <w:rPr>
          <w:rFonts w:ascii="黑体" w:eastAsia="黑体" w:cs="Times New Roman" w:hAnsi="黑体" w:hint="eastAsia"/>
          <w:sz w:val="32"/>
        </w:rPr>
        <w:t>促进政府职能转变工作</w:t>
      </w:r>
    </w:p>
    <w:p>
      <w:pPr>
        <w:ind w:firstLineChars="200" w:firstLine="640"/>
        <w:jc w:val="left"/>
        <w:rPr>
          <w:rFonts w:ascii="仿宋_GB2312" w:eastAsia="仿宋_GB2312" w:cs="宋体" w:hAnsi="宋体"/>
          <w:sz w:val="32"/>
        </w:rPr>
      </w:pPr>
      <w:r>
        <w:rPr>
          <w:rFonts w:ascii="仿宋_GB2312" w:eastAsia="仿宋_GB2312" w:cs="Times New Roman" w:hAnsi="Times New Roman" w:hint="eastAsia"/>
          <w:sz w:val="32"/>
        </w:rPr>
        <w:t>绩效目标：</w:t>
      </w:r>
      <w:r>
        <w:rPr>
          <w:rFonts w:ascii="仿宋_GB2312" w:eastAsia="仿宋_GB2312" w:cs="宋体" w:hAnsi="宋体" w:hint="eastAsia"/>
          <w:sz w:val="32"/>
        </w:rPr>
        <w:t>加强对事业单位法人的事中事后监管，推动事业单位“双随机、一公开”监管全覆盖、常态化。落实信用联合惩戒机制，推动事业单位信用体系建设，加强信息共享和协同监管，做好统一信用代码工作。提升机构编制管理科学化规范化水平，严格编制使用核准制度，开展新一轮机构编制核查，健全领导职数管理台账。</w:t>
      </w:r>
    </w:p>
    <w:p>
      <w:pPr>
        <w:ind w:firstLineChars="200" w:firstLine="640"/>
        <w:jc w:val="left"/>
        <w:rPr>
          <w:rFonts w:ascii="仿宋_GB2312" w:eastAsia="仿宋_GB2312" w:cs="宋体" w:hAnsi="宋体"/>
          <w:sz w:val="32"/>
        </w:rPr>
      </w:pPr>
      <w:r>
        <w:rPr>
          <w:rFonts w:ascii="仿宋_GB2312" w:eastAsia="仿宋_GB2312" w:cs="Times New Roman" w:hAnsi="Times New Roman" w:hint="eastAsia"/>
          <w:sz w:val="32"/>
        </w:rPr>
        <w:t>绩效指标：</w:t>
      </w:r>
      <w:r>
        <w:rPr>
          <w:rFonts w:ascii="仿宋_GB2312" w:eastAsia="仿宋_GB2312" w:cs="宋体" w:hAnsi="宋体" w:hint="eastAsia"/>
          <w:sz w:val="32"/>
        </w:rPr>
        <w:t>政府购买服务推广率、行政审批项目清理工作的完成率</w:t>
      </w:r>
    </w:p>
    <w:p>
      <w:pPr>
        <w:ind w:firstLineChars="200" w:firstLine="640"/>
        <w:jc w:val="left"/>
        <w:rPr>
          <w:rFonts w:ascii="黑体" w:eastAsia="黑体" w:cs="宋体" w:hAnsi="黑体"/>
          <w:sz w:val="32"/>
        </w:rPr>
      </w:pPr>
      <w:r>
        <w:rPr>
          <w:rFonts w:ascii="黑体" w:eastAsia="黑体" w:cs="宋体" w:hAnsi="黑体" w:hint="eastAsia"/>
          <w:sz w:val="32"/>
        </w:rPr>
        <w:t>四、编办事务管理工作</w:t>
      </w:r>
    </w:p>
    <w:p>
      <w:pPr>
        <w:ind w:firstLineChars="200" w:firstLine="640"/>
        <w:jc w:val="left"/>
        <w:rPr>
          <w:rFonts w:ascii="仿宋_GB2312" w:eastAsia="仿宋_GB2312" w:cs="宋体" w:hAnsi="宋体"/>
          <w:sz w:val="32"/>
        </w:rPr>
      </w:pPr>
      <w:r>
        <w:rPr>
          <w:rFonts w:ascii="仿宋_GB2312" w:eastAsia="仿宋_GB2312" w:cs="Times New Roman" w:hAnsi="Times New Roman" w:hint="eastAsia"/>
          <w:sz w:val="32"/>
        </w:rPr>
        <w:t>绩效目标：</w:t>
      </w:r>
      <w:r>
        <w:rPr>
          <w:rFonts w:ascii="仿宋_GB2312" w:eastAsia="仿宋_GB2312" w:cs="宋体" w:hAnsi="宋体" w:hint="eastAsia"/>
          <w:sz w:val="32"/>
        </w:rPr>
        <w:t>严格落实实名制数据月报制度，加强机构编制统计分析工作，强化统计数据结果运用。积极稳妥推进机构编制云平台应用。着力加强自身建设，为加快转型升级、跨越赶超步伐，全面建设幸福深泽提供强有力的体制机制保障。</w:t>
      </w:r>
    </w:p>
    <w:p>
      <w:pPr>
        <w:ind w:firstLineChars="200" w:firstLine="640"/>
        <w:jc w:val="left"/>
        <w:rPr>
          <w:rFonts w:ascii="仿宋_GB2312" w:eastAsia="仿宋_GB2312" w:cs="宋体" w:hAnsi="宋体"/>
          <w:b/>
          <w:sz w:val="32"/>
        </w:rPr>
      </w:pPr>
      <w:r>
        <w:rPr>
          <w:rFonts w:ascii="仿宋_GB2312" w:eastAsia="仿宋_GB2312" w:cs="Times New Roman" w:hAnsi="Times New Roman" w:hint="eastAsia"/>
          <w:sz w:val="32"/>
        </w:rPr>
        <w:t>绩效指标：</w:t>
      </w:r>
      <w:r>
        <w:rPr>
          <w:rFonts w:ascii="仿宋_GB2312" w:eastAsia="仿宋_GB2312" w:cs="宋体" w:hAnsi="宋体" w:hint="eastAsia"/>
          <w:sz w:val="32"/>
        </w:rPr>
        <w:t>各项综合事务工作完成情况、机构编制信息平台运行</w:t>
      </w:r>
    </w:p>
    <w:p>
      <w:pPr>
        <w:ind w:firstLineChars="200" w:firstLine="640"/>
        <w:jc w:val="left"/>
        <w:rPr>
          <w:rFonts w:ascii="Times New Roman" w:eastAsia="Times New Roman" w:cs="Times New Roman" w:hAnsi="Times New Roman"/>
          <w:b/>
          <w:sz w:val="32"/>
        </w:rPr>
      </w:pPr>
      <w:r>
        <w:rPr>
          <w:rFonts w:ascii="宋体" w:cs="宋体" w:hAnsi="宋体"/>
          <w:b/>
          <w:sz w:val="32"/>
        </w:rPr>
        <w:t>（三）工作保障措施</w:t>
      </w:r>
    </w:p>
    <w:p>
      <w:pPr>
        <w:ind w:firstLineChars="200" w:firstLine="640"/>
        <w:jc w:val="left"/>
        <w:rPr>
          <w:rFonts w:ascii="仿宋_GB2312" w:eastAsia="仿宋_GB2312" w:cs="宋体" w:hAnsi="宋体"/>
          <w:sz w:val="32"/>
        </w:rPr>
      </w:pPr>
      <w:r>
        <w:rPr>
          <w:rFonts w:ascii="仿宋_GB2312" w:eastAsia="仿宋_GB2312" w:cs="宋体" w:hAnsi="宋体" w:hint="eastAsia"/>
          <w:sz w:val="32"/>
        </w:rPr>
        <w:t>贯彻落实党中央、国务院关于行政管理体制机构编制管理的政策和省、市地方性法规草案并监督实施；促进政府职能转变，积极构建科学的行政管理体制；健全政府职责体系，完善公共服务体系。</w:t>
      </w:r>
    </w:p>
    <w:p>
      <w:pPr>
        <w:ind w:firstLineChars="200" w:firstLine="640"/>
        <w:jc w:val="left"/>
        <w:rPr>
          <w:rFonts w:ascii="仿宋_GB2312" w:eastAsia="仿宋_GB2312" w:cs="宋体" w:hAnsi="宋体"/>
          <w:sz w:val="32"/>
        </w:rPr>
      </w:pPr>
      <w:r>
        <w:rPr>
          <w:rFonts w:ascii="仿宋_GB2312" w:eastAsia="仿宋_GB2312" w:cs="宋体" w:hAnsi="宋体" w:hint="eastAsia"/>
          <w:sz w:val="32"/>
        </w:rPr>
        <w:t>（一）强化社会管理和公共服务。加快推进政企分开、政资分开、政事分开、政府与市场中介组织分开，规范行政行为，加强行政执法部门建设，减少和规范行政审批，减少政府对微观经济运行的干预。</w:t>
      </w:r>
    </w:p>
    <w:p>
      <w:pPr>
        <w:ind w:firstLineChars="200" w:firstLine="640"/>
        <w:jc w:val="left"/>
        <w:rPr>
          <w:rFonts w:ascii="仿宋_GB2312" w:eastAsia="仿宋_GB2312" w:cs="宋体" w:hAnsi="宋体"/>
          <w:sz w:val="32"/>
        </w:rPr>
      </w:pPr>
      <w:r>
        <w:rPr>
          <w:rFonts w:ascii="仿宋_GB2312" w:eastAsia="仿宋_GB2312" w:cs="宋体" w:hAnsi="宋体" w:hint="eastAsia"/>
          <w:sz w:val="32"/>
        </w:rPr>
        <w:t>（二）加强自身能力建设，提高参谋服务水平。认真组织贯彻党的十九届三中全会精神和省、市、县全会精神。深入学习领会习近平总书记关于深化党和国家机构改革的重要论述，准确把握新时代机构编制工作的历史方位、总体目标、根本任务、基本布局和重要原则，校准机构编制工作的正确方向。改进工作作风，提升干部队伍素质，切实增强大局意识、责任意识、执行意识、服务意识和忧患意识，不断增强编办的凝聚力、战斗力。</w:t>
      </w:r>
    </w:p>
    <w:p>
      <w:pPr>
        <w:ind w:firstLineChars="200" w:firstLine="640"/>
        <w:jc w:val="left"/>
        <w:rPr>
          <w:rFonts w:ascii="仿宋_GB2312" w:eastAsia="仿宋_GB2312" w:cs="宋体" w:hAnsi="宋体"/>
          <w:sz w:val="32"/>
        </w:rPr>
      </w:pPr>
      <w:r>
        <w:rPr>
          <w:rFonts w:ascii="仿宋_GB2312" w:eastAsia="仿宋_GB2312" w:cs="宋体" w:hAnsi="宋体" w:hint="eastAsia"/>
          <w:sz w:val="32"/>
        </w:rPr>
        <w:t>（三）加强制度建设，形成以制度管人、按制度办事的运行格局，切实抓好相关制度的贯彻落实。</w:t>
      </w:r>
    </w:p>
    <w:p>
      <w:pPr>
        <w:ind w:firstLineChars="200" w:firstLine="640"/>
        <w:jc w:val="left"/>
        <w:rPr>
          <w:rFonts w:ascii="仿宋_GB2312" w:eastAsia="仿宋_GB2312" w:cs="宋体" w:hAnsi="宋体"/>
          <w:sz w:val="32"/>
        </w:rPr>
      </w:pPr>
      <w:r>
        <w:rPr>
          <w:rFonts w:ascii="仿宋_GB2312" w:eastAsia="仿宋_GB2312" w:cs="宋体" w:hAnsi="宋体" w:hint="eastAsia"/>
          <w:sz w:val="32"/>
        </w:rPr>
        <w:t>（四）完善协调配合工作机制，提升综合管理水平。加强与组织、人社、财政等部门的协调配合，推进机构编制资源共享。</w:t>
      </w:r>
    </w:p>
    <w:p>
      <w:pPr>
        <w:spacing w:line="499" w:lineRule="auto"/>
        <w:ind w:firstLine="560"/>
        <w:jc w:val="left"/>
        <w:rPr>
          <w:rFonts w:ascii="宋体" w:cs="宋体" w:hAnsi="宋体"/>
          <w:b/>
          <w:bCs/>
          <w:sz w:val="32"/>
          <w:szCs w:val="32"/>
        </w:rPr>
      </w:pPr>
      <w:r>
        <w:rPr>
          <w:rFonts w:ascii="宋体" w:cs="宋体" w:hAnsi="宋体" w:hint="eastAsia"/>
          <w:b/>
          <w:bCs/>
          <w:sz w:val="32"/>
          <w:szCs w:val="32"/>
        </w:rPr>
        <w:t>第二部分 预算项目绩效目标</w:t>
      </w:r>
    </w:p>
    <w:p>
      <w:pPr>
        <w:spacing w:line="499" w:lineRule="auto"/>
        <w:jc w:val="left"/>
        <w:rPr>
          <w:rFonts w:ascii="方正仿宋_GBK" w:eastAsia="方正仿宋_GBK" w:cs="方正仿宋_GBK" w:hAnsi="方正仿宋_GBK"/>
          <w:b/>
          <w:sz w:val="28"/>
        </w:rPr>
      </w:pPr>
      <w:r>
        <w:rPr>
          <w:rFonts w:ascii="方正仿宋_GBK" w:eastAsia="方正仿宋_GBK" w:cs="方正仿宋_GBK" w:hAnsi="方正仿宋_GBK"/>
          <w:b/>
          <w:sz w:val="28"/>
        </w:rPr>
        <w:t>1</w:t>
      </w:r>
      <w:r>
        <w:rPr>
          <w:rFonts w:ascii="宋体" w:cs="宋体" w:hAnsi="宋体"/>
          <w:b/>
          <w:sz w:val="28"/>
        </w:rPr>
        <w:t>、党政机关、事业单位中文域名注册费绩效目标表</w:t>
      </w:r>
      <w:r>
        <w:rPr>
          <w:rFonts w:ascii="方正仿宋_GBK" w:eastAsia="方正仿宋_GBK" w:cs="方正仿宋_GBK" w:hAnsi="方正仿宋_GBK"/>
          <w:b/>
          <w:sz w:val="28"/>
        </w:rPr>
        <w:t xml:space="preserve"> </w:t>
      </w:r>
    </w:p>
    <w:p>
      <w:pPr>
        <w:spacing w:line="499" w:lineRule="auto"/>
        <w:jc w:val="left"/>
        <w:rPr>
          <w:rFonts w:ascii="方正仿宋_GBK" w:eastAsia="方正仿宋_GBK" w:cs="方正仿宋_GBK" w:hAnsi="方正仿宋_GBK"/>
          <w:b/>
          <w:sz w:val="28"/>
        </w:rPr>
      </w:pPr>
    </w:p>
    <w:tbl>
      <w:tblPr>
        <w:tblpPr w:leftFromText="180" w:rightFromText="180" w:vertAnchor="text" w:horzAnchor="page" w:tblpX="1374" w:tblpY="6"/>
        <w:tblOverlap w:val="never"/>
        <w:tblW w:w="941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34"/>
        <w:gridCol w:w="1134"/>
        <w:gridCol w:w="1276"/>
        <w:gridCol w:w="2891"/>
        <w:gridCol w:w="1276"/>
        <w:gridCol w:w="1701"/>
      </w:tblGrid>
      <w:tr>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hint="eastAsia"/>
                <w:b/>
              </w:rPr>
              <w:t>绩效目标</w:t>
            </w:r>
          </w:p>
        </w:tc>
        <w:tc>
          <w:tcPr>
            <w:tcW w:w="8278" w:type="dxa"/>
            <w:gridSpan w:val="5"/>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ind w:firstLineChars="100" w:firstLine="210"/>
              <w:jc w:val="left"/>
              <w:rPr>
                <w:rFonts w:ascii="宋体" w:cs="宋体" w:hAnsi="宋体"/>
              </w:rPr>
            </w:pPr>
            <w:r>
              <w:rPr>
                <w:rFonts w:ascii="宋体" w:cs="宋体" w:hAnsi="宋体" w:hint="eastAsia"/>
              </w:rPr>
              <w:t>党政机关、事业单位中文域名注册费</w:t>
            </w:r>
          </w:p>
        </w:tc>
      </w:tr>
      <w:tr>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指标值确定依据</w:t>
            </w:r>
          </w:p>
        </w:tc>
      </w:tr>
      <w:t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党政机关、事业单位中文域名注册目标完成率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党政机关、事业单位中文域名注册目标完成率</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质量指标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推进电子政务建设</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推进电子政务建设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推进电子政务建设</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推进电子政务建设</w:t>
            </w:r>
          </w:p>
        </w:tc>
      </w:tr>
      <w:t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效果指标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保护机关事业单位网上合法权益</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保护机关事业单位网上合法权益</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保护机关事业单位网上合法权益</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保护机关事业单位网上合法权益</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党政机关、事业单位中文域名注册费</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党政机关、事业单位中文域名注册费</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党政机关、事业单位中文域名注册费</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党政机关、事业单位中文域名注册费</w:t>
            </w:r>
          </w:p>
        </w:tc>
      </w:tr>
      <w:tr>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党政机关、事业单位中文域名保护机关事业单位网上合法权益</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党政机关、事业单位中文域名保护机关事业单位网上合法权益</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党政机关、事业单位中文域名保护机关事业单位网上合法权益</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党政机关、事业单位中文域名保护机关事业单位网上合法权益</w:t>
            </w:r>
          </w:p>
        </w:tc>
      </w:tr>
    </w:tbl>
    <w:p>
      <w:pPr>
        <w:ind w:firstLine="420"/>
        <w:jc w:val="center"/>
        <w:rPr>
          <w:rFonts w:ascii="Times New Roman" w:eastAsia="Times New Roman" w:cs="Times New Roman" w:hAnsi="Times New Roman"/>
        </w:rPr>
      </w:pPr>
      <w:r>
        <w:rPr>
          <w:rFonts w:ascii="方正书宋_GBK" w:eastAsia="方正书宋_GBK" w:cs="方正书宋_GBK" w:hAnsi="方正书宋_GBK"/>
        </w:rPr>
        <w:t xml:space="preserve"> </w:t>
      </w:r>
    </w:p>
    <w:p>
      <w:pPr>
        <w:spacing w:line="300" w:lineRule="auto"/>
        <w:jc w:val="left"/>
        <w:rPr>
          <w:rFonts w:eastAsia="Calibri" w:cs="Calibri"/>
        </w:rPr>
      </w:pPr>
    </w:p>
    <w:p>
      <w:pPr>
        <w:spacing w:line="300" w:lineRule="auto"/>
        <w:jc w:val="left"/>
        <w:rPr>
          <w:rFonts w:eastAsia="Calibri" w:cs="Calibri"/>
        </w:rPr>
      </w:pPr>
    </w:p>
    <w:p>
      <w:pPr>
        <w:jc w:val="left"/>
        <w:rPr>
          <w:rFonts w:ascii="Times New Roman" w:eastAsia="Times New Roman" w:cs="Times New Roman" w:hAnsi="Times New Roman"/>
          <w:b/>
          <w:sz w:val="28"/>
        </w:rPr>
      </w:pPr>
      <w:r>
        <w:rPr>
          <w:rFonts w:ascii="方正仿宋_GBK" w:eastAsia="方正仿宋_GBK" w:cs="方正仿宋_GBK" w:hAnsi="方正仿宋_GBK"/>
          <w:b/>
          <w:sz w:val="28"/>
        </w:rPr>
        <w:t>2</w:t>
      </w:r>
      <w:r>
        <w:rPr>
          <w:rFonts w:ascii="宋体" w:cs="宋体" w:hAnsi="宋体"/>
          <w:b/>
          <w:sz w:val="28"/>
        </w:rPr>
        <w:t>、机构编制监管绩效目标表</w:t>
      </w:r>
      <w:r>
        <w:rPr>
          <w:rFonts w:ascii="方正仿宋_GBK" w:eastAsia="方正仿宋_GBK" w:cs="方正仿宋_GBK" w:hAnsi="方正仿宋_GBK"/>
          <w:b/>
          <w:sz w:val="28"/>
        </w:rPr>
        <w:t xml:space="preserve"> </w:t>
      </w:r>
    </w:p>
    <w:p>
      <w:pPr>
        <w:ind w:firstLine="420"/>
        <w:jc w:val="center"/>
        <w:rPr>
          <w:rFonts w:ascii="Times New Roman" w:eastAsia="Times New Roman" w:cs="Times New Roman" w:hAnsi="Times New Roman"/>
        </w:rPr>
      </w:pPr>
      <w:r>
        <w:rPr>
          <w:rFonts w:ascii="方正书宋_GBK" w:eastAsia="方正书宋_GBK" w:cs="方正书宋_GBK" w:hAnsi="方正书宋_GBK"/>
        </w:rPr>
        <w:t xml:space="preserve"> </w:t>
      </w:r>
    </w:p>
    <w:tbl>
      <w:tblPr>
        <w:jc w:val="center"/>
        <w:tblW w:w="941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34"/>
        <w:gridCol w:w="1134"/>
        <w:gridCol w:w="1276"/>
        <w:gridCol w:w="2891"/>
        <w:gridCol w:w="1526"/>
        <w:gridCol w:w="1451"/>
      </w:tblGrid>
      <w:tr>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b/>
              </w:rPr>
              <w:t>绩效目标</w:t>
            </w:r>
          </w:p>
        </w:tc>
        <w:tc>
          <w:tcPr>
            <w:tcW w:w="8278" w:type="dxa"/>
            <w:gridSpan w:val="5"/>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方正书宋_GBK" w:eastAsia="方正书宋_GBK" w:cs="方正书宋_GBK" w:hAnsi="方正书宋_GBK"/>
              </w:rPr>
            </w:pPr>
            <w:r>
              <w:rPr>
                <w:rFonts w:ascii="方正书宋_GBK" w:eastAsia="方正书宋_GBK" w:cs="方正书宋_GBK" w:hAnsi="方正书宋_GBK"/>
              </w:rPr>
              <w:t>1</w:t>
            </w:r>
            <w:r>
              <w:rPr>
                <w:rFonts w:ascii="宋体" w:cs="宋体" w:hAnsi="宋体"/>
              </w:rPr>
              <w:t>、机构改革工作</w:t>
            </w:r>
          </w:p>
          <w:p>
            <w:pPr>
              <w:spacing w:line="300" w:lineRule="auto"/>
              <w:jc w:val="left"/>
              <w:rPr>
                <w:rFonts w:ascii="方正书宋_GBK" w:eastAsia="方正书宋_GBK" w:cs="方正书宋_GBK" w:hAnsi="方正书宋_GBK"/>
              </w:rPr>
            </w:pPr>
            <w:r>
              <w:rPr>
                <w:rFonts w:ascii="方正书宋_GBK" w:eastAsia="方正书宋_GBK" w:cs="方正书宋_GBK" w:hAnsi="方正书宋_GBK"/>
              </w:rPr>
              <w:t>2</w:t>
            </w:r>
            <w:r>
              <w:rPr>
                <w:rFonts w:ascii="宋体" w:cs="宋体" w:hAnsi="宋体"/>
              </w:rPr>
              <w:t>、综合事务管理</w:t>
            </w:r>
          </w:p>
          <w:p>
            <w:pPr>
              <w:spacing w:line="300" w:lineRule="auto"/>
              <w:jc w:val="left"/>
              <w:rPr>
                <w:rFonts w:ascii="方正书宋_GBK" w:eastAsia="方正书宋_GBK" w:cs="方正书宋_GBK" w:hAnsi="方正书宋_GBK"/>
              </w:rPr>
            </w:pPr>
            <w:r>
              <w:rPr>
                <w:rFonts w:ascii="方正书宋_GBK" w:eastAsia="方正书宋_GBK" w:cs="方正书宋_GBK" w:hAnsi="方正书宋_GBK"/>
              </w:rPr>
              <w:t>3</w:t>
            </w:r>
            <w:r>
              <w:rPr>
                <w:rFonts w:ascii="宋体" w:cs="宋体" w:hAnsi="宋体"/>
              </w:rPr>
              <w:t>、全县事业单位法人事中事后监管</w:t>
            </w:r>
          </w:p>
          <w:p>
            <w:pPr>
              <w:spacing w:line="300" w:lineRule="auto"/>
              <w:rPr>
                <w:rFonts w:ascii="宋体" w:cs="宋体" w:hAnsi="宋体"/>
              </w:rPr>
            </w:pPr>
            <w:r>
              <w:rPr>
                <w:rFonts w:ascii="方正书宋_GBK" w:eastAsia="方正书宋_GBK" w:cs="方正书宋_GBK" w:hAnsi="方正书宋_GBK"/>
              </w:rPr>
              <w:t>4</w:t>
            </w:r>
            <w:r>
              <w:rPr>
                <w:rFonts w:ascii="宋体" w:cs="宋体" w:hAnsi="宋体"/>
              </w:rPr>
              <w:t>、机构编制信息平台运行</w:t>
            </w:r>
          </w:p>
        </w:tc>
      </w:tr>
      <w:tr>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绩效指标描述</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指标值</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b/>
              </w:rPr>
            </w:pPr>
            <w:r>
              <w:rPr>
                <w:rFonts w:ascii="宋体" w:cs="宋体" w:hAnsi="宋体"/>
                <w:b/>
              </w:rPr>
              <w:t>指标值确定依据</w:t>
            </w:r>
          </w:p>
        </w:tc>
      </w:tr>
      <w:t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行政机构改革工作目标完成率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行政机构改革工作目标完成率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行政机构改革工作目标完成率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行政机构改革工作目标完成率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综合行政执法改革目标完成率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综合行政执法改革目标完成率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综合行政执法改革目标完成率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综合行政执法改革目标完成率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事业单位改革目标完成率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事业单位改革目标完成率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事业单位改革目标完成率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事业单位改革目标完成率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机构编制管理工作经费目标完成率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机构编制管理工作经费目标完成率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机构编制管理工作经费目标完成率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机构编制管理工作经费目标完成率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机构编制信息平台运行目标完成率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机构编制信息平台运行目标完成率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机构编制信息平台运行目标完成率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机构编制信息平台运行目标完成率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全县事业单位法人事中事后监管经费目标完成率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全县事业单位法人事中事后监管经费目标完成率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全县事业单位法人事中事后监管经费目标完成率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全县事业单位法人事中事后监管经费目标完成率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各项改革工作完成率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各项改革工作完成率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各项改革工作完成率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各项改革工作完成率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机构编制平台建设完成率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机构编制平台建设完成率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机构编制平台建设完成率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机构编制平台建设完成率</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成本指标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事业单位法人监管覆盖率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事业单位法人监管覆盖率</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事业单位法人监管覆盖率</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事业单位法人监管覆盖率</w:t>
            </w:r>
          </w:p>
        </w:tc>
      </w:tr>
      <w:t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效果指标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提高机构编制监管水平</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提高机构编制监管水平</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提高机构编制监管水平</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提高机构编制监管水平</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确保机构编制工作服务全县改革大局</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确保机构编制工作服务全县改革大局</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确保机构编制工作服务全县改革大局</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确保机构编制工作服务全县改革大局</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推进事业单位整体精简规范设置及改革工作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推进事业单位整体精简规范设置及改革工作</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推进事业单位整体精简规范设置及改革工作</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推进事业单位整体精简规范设置及改革工作</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创新机构编制监管，提升服务水平。</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创新机构编制监管，提升服务水平。</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创新机构编制监管，提升服务水平。</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创新机构编制监管，提升服务水平。</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社会效益指标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保障重点领域机构编制，优化配置机构编制资源。</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保障重点领域机构编制，优化配置机构编制资源。</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保障重点领域机构编制，优化配置机构编制资源。</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保障重点领域机构编制，优化配置机构编制资源。</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提升机构编制管理科学化规范化水平，严格编制使用核准制度，开展新一轮机构编制核查，健全领导职数管理台账。</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提升机构编制管理科学化规范化水平，严格编制使用核准制度，开展新一轮机构编制核查，健全领导职数管理台账。</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提升机构编制管理科学化规范化水平，严格编制使用核准制度，开展新一轮机构编制核查，健全领导职数管理台账。</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提升机构编制管理科学化规范化水平，严格编制使用核准制度，开展新一轮机构编制核查，健全领导职数管理台账。</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可持续影响指标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严格落实实名制数据月报制度，加强机构编制统计分析工作，强化统计数据结果运用。积极稳妥推进机构编制云平台应用。</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严格落实实名制数据月报制度，加强机构编制统计分析工作，强化统计数据结果运用。积极稳妥推进机构编制云平台应用。</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严格落实实名制数据月报制度，加强机构编制统计分析工作，强化统计数据结果运用。积极稳妥推进机构编制云平台应用。</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严格落实实名制数据月报制度，加强机构编制统计分析工作，强化统计数据结果运用。积极稳妥推进机构编制云平台应用。</w:t>
            </w:r>
          </w:p>
        </w:tc>
      </w:tr>
      <w:t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center"/>
              <w:rPr>
                <w:rFonts w:ascii="宋体" w:cs="宋体" w:hAnsi="宋体"/>
              </w:rPr>
            </w:pPr>
            <w:r>
              <w:rPr>
                <w:rFonts w:ascii="宋体" w:cs="宋体" w:hAnsi="宋体"/>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审核或审批县委、县政府，人大、政协、法院、检察院机关，人民团体机关的机构编制管理事宜；负责全县事业单位法人登记管理和监督检查工作。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审核或审批县委、县政府，人大、政协、法院、检察院机关，人民团体机关的机构编制管理事宜；负责全县事业单位法人登记管理和监督检查工作。</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审核或审批县委、县政府，人大、政协、法院、检察院机关，人民团体机关的机构编制管理事宜；负责全县事业单位法人登记管理和监督检查工作。</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审核或审批县委、县政府，人大、政协、法院、检察院机关，人民团体机关的机构编制管理事宜；负责全县事业单位法人登记管理和监督检查工作。</w:t>
            </w:r>
          </w:p>
        </w:tc>
      </w:tr>
      <w:tr>
        <w:tc>
          <w:tcPr>
            <w:tcW w:w="1134" w:type="dxa"/>
            <w:vMerge/>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积极探索机构编制工作新思路新办法，以调整优化机构编制工作，协调推进重要领域体制机制改革，稳步推进事业单位改革，创新机构编制管理，统筹配置各类编制资源。</w:t>
            </w:r>
          </w:p>
        </w:tc>
        <w:tc>
          <w:tcPr>
            <w:tcW w:w="289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积极探索机构编制工作新思路新办法，以调整优化机构编制工作，协调推进重要领域体制机制改革，稳步推进事业单位改革，创新机构编制管理，统筹配置各类编制资源。</w:t>
            </w:r>
          </w:p>
        </w:tc>
        <w:tc>
          <w:tcPr>
            <w:tcW w:w="1526"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pPr>
            <w:r>
              <w:rPr>
                <w:rFonts w:ascii="宋体" w:cs="宋体" w:hAnsi="宋体"/>
              </w:rPr>
              <w:t>≥</w:t>
            </w:r>
            <w:r>
              <w:rPr>
                <w:rFonts w:ascii="方正书宋_GBK" w:eastAsia="方正书宋_GBK" w:cs="方正书宋_GBK" w:hAnsi="方正书宋_GBK"/>
              </w:rPr>
              <w:t>90</w:t>
            </w:r>
            <w:r>
              <w:rPr>
                <w:rFonts w:ascii="宋体" w:cs="宋体" w:hAnsi="宋体"/>
              </w:rPr>
              <w:t>积极探索机构编制工作新思路新办法，以调整优化机构编制工作，协调推进重要领域体制机制改革，稳步推进事业单位改革，创新机构编制管理，统筹配置各类编制资源。</w:t>
            </w:r>
          </w:p>
        </w:tc>
        <w:tc>
          <w:tcPr>
            <w:tcW w:w="1451" w:type="dxa"/>
            <w:tcBorders>
              <w:top w:val="single" w:sz="6" w:space="0" w:color="000000"/>
              <w:left w:val="single" w:sz="6" w:space="0" w:color="000000"/>
              <w:bottom w:val="single" w:sz="6" w:space="0" w:color="000000"/>
              <w:right w:val="single" w:sz="6" w:space="0" w:color="000000"/>
            </w:tcBorders>
            <w:shd w:val="clear" w:color="auto" w:fill="auto"/>
            <w:tcMar>
              <w:left w:w="10" w:type="dxa"/>
              <w:right w:w="10" w:type="dxa"/>
            </w:tcMar>
            <w:vAlign w:val="center"/>
          </w:tcPr>
          <w:p>
            <w:pPr>
              <w:spacing w:line="300" w:lineRule="auto"/>
              <w:jc w:val="left"/>
              <w:rPr>
                <w:rFonts w:ascii="宋体" w:cs="宋体" w:hAnsi="宋体"/>
              </w:rPr>
            </w:pPr>
            <w:r>
              <w:rPr>
                <w:rFonts w:ascii="宋体" w:cs="宋体" w:hAnsi="宋体"/>
              </w:rPr>
              <w:t>积极探索机构编制工作新思路新办法，以调整优化机构编制工作，协调推进重要领域体制机制改革，稳步推进事业单位改革，创新机构编制管理，统筹配置各类编制资源。</w:t>
            </w:r>
          </w:p>
        </w:tc>
      </w:tr>
    </w:tbl>
    <w:p>
      <w:pPr>
        <w:spacing w:line="300" w:lineRule="auto"/>
        <w:jc w:val="left"/>
        <w:rPr>
          <w:rFonts w:eastAsia="Calibri" w:cs="Calibri"/>
        </w:rPr>
      </w:pPr>
    </w:p>
    <w:p>
      <w:pPr>
        <w:autoSpaceDE w:val="0"/>
        <w:autoSpaceDN w:val="0"/>
        <w:adjustRightInd w:val="0"/>
        <w:ind w:firstLineChars="300" w:firstLine="960"/>
        <w:jc w:val="left"/>
        <w:rPr>
          <w:rFonts w:ascii="黑体" w:eastAsia="黑体" w:cs="Times New Roman" w:hAnsi="黑体"/>
          <w:sz w:val="32"/>
          <w:szCs w:val="32"/>
        </w:rPr>
      </w:pPr>
    </w:p>
    <w:p>
      <w:pPr>
        <w:autoSpaceDE w:val="0"/>
        <w:autoSpaceDN w:val="0"/>
        <w:adjustRightInd w:val="0"/>
        <w:jc w:val="left"/>
        <w:rPr>
          <w:rFonts w:ascii="黑体" w:eastAsia="黑体" w:cs="Times New Roman" w:hAnsi="黑体"/>
          <w:sz w:val="32"/>
          <w:szCs w:val="32"/>
        </w:rPr>
        <w:sectPr>
          <w:footerReference w:type="default" r:id="rId2"/>
          <w:pgSz w:w="11906" w:h="16838"/>
          <w:pgMar w:top="1440" w:right="1800" w:bottom="1440" w:left="1800" w:header="851" w:footer="992" w:gutter="0"/>
          <w:docGrid w:type="lines" w:linePitch="312" w:charSpace="0"/>
        </w:sectPr>
      </w:pPr>
    </w:p>
    <w:p>
      <w:pPr>
        <w:ind w:firstLine="960"/>
        <w:jc w:val="left"/>
        <w:rPr>
          <w:rFonts w:ascii="黑体" w:eastAsia="黑体" w:hAnsi="黑体"/>
          <w:sz w:val="32"/>
        </w:rPr>
      </w:pPr>
      <w:r>
        <w:rPr>
          <w:rFonts w:ascii="黑体" w:eastAsia="黑体" w:hAnsi="黑体"/>
          <w:sz w:val="32"/>
        </w:rPr>
        <w:t>六、政府采购预算情况</w:t>
      </w:r>
    </w:p>
    <w:p>
      <w:pPr>
        <w:ind w:firstLine="640"/>
        <w:rPr>
          <w:rFonts w:ascii="仿宋_GB2312" w:eastAsia="仿宋_GB2312" w:cs="Times New Roman" w:hAnsi="Times New Roman"/>
          <w:color w:val="000000"/>
          <w:sz w:val="32"/>
        </w:rPr>
      </w:pPr>
      <w:r>
        <w:rPr>
          <w:rFonts w:ascii="仿宋_GB2312" w:eastAsia="仿宋_GB2312" w:cs="Times New Roman" w:hAnsi="Times New Roman" w:hint="eastAsia"/>
          <w:color w:val="000000"/>
          <w:sz w:val="32"/>
        </w:rPr>
        <w:t xml:space="preserve"> 2020年，我部门安排政府采购预算0万元。</w:t>
      </w:r>
    </w:p>
    <w:p>
      <w:pPr>
        <w:jc w:val="center"/>
        <w:outlineLvl w:val="0"/>
        <w:rPr>
          <w:rFonts w:ascii="仿宋_GB2312" w:eastAsia="仿宋_GB2312" w:cs="Times New Roman" w:hAnsi="黑体"/>
          <w:sz w:val="32"/>
          <w:szCs w:val="32"/>
        </w:rPr>
      </w:pPr>
      <w:r>
        <w:rPr>
          <w:rFonts w:ascii="方正小标宋_GBK" w:eastAsia="方正小标宋_GBK" w:cs="Times New Roman" w:hAnsi="Times New Roman" w:hint="eastAsia"/>
          <w:sz w:val="32"/>
          <w:szCs w:val="24"/>
        </w:rPr>
        <w:t>政府采购预算情况表</w:t>
      </w:r>
    </w:p>
    <w:tbl>
      <w:tblPr>
        <w:jc w:val="center"/>
        <w:tblW w:w="137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53"/>
        <w:gridCol w:w="691"/>
        <w:gridCol w:w="1122"/>
        <w:gridCol w:w="1183"/>
        <w:gridCol w:w="691"/>
        <w:gridCol w:w="665"/>
        <w:gridCol w:w="909"/>
        <w:gridCol w:w="876"/>
        <w:gridCol w:w="860"/>
        <w:gridCol w:w="1214"/>
        <w:gridCol w:w="1045"/>
        <w:gridCol w:w="1014"/>
        <w:gridCol w:w="893"/>
        <w:gridCol w:w="845"/>
        <w:gridCol w:w="1"/>
      </w:tblGrid>
      <w:tr>
        <w:trPr>
          <w:trHeight w:val="309"/>
          <w:tblHeader/>
        </w:trPr>
        <w:tc>
          <w:tcPr>
            <w:tcW w:w="7014" w:type="dxa"/>
            <w:gridSpan w:val="7"/>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b/>
              </w:rPr>
            </w:pPr>
            <w:r>
              <w:rPr>
                <w:rFonts w:ascii="方正书宋_GBK" w:eastAsia="方正书宋_GBK" w:hint="eastAsia"/>
                <w:b/>
              </w:rPr>
              <w:t>225中共深泽县委机构编制委员会办公室</w:t>
            </w:r>
          </w:p>
        </w:tc>
        <w:tc>
          <w:tcPr>
            <w:tcW w:w="6748" w:type="dxa"/>
            <w:gridSpan w:val="8"/>
            <w:tcBorders>
              <w:top w:val="single" w:sz="6" w:space="0" w:color="FFFFFF"/>
              <w:left w:val="single" w:sz="6" w:space="0" w:color="FFFFFF"/>
              <w:bottom w:val="single" w:sz="6" w:space="0" w:color="000000"/>
              <w:right w:val="single" w:sz="6" w:space="0" w:color="FFFFFF"/>
            </w:tcBorders>
            <w:vAlign w:val="center"/>
          </w:tcPr>
          <w:p>
            <w:pPr>
              <w:spacing w:line="300" w:lineRule="exact"/>
              <w:jc w:val="center"/>
              <w:rPr>
                <w:rFonts w:ascii="方正书宋_GBK" w:eastAsia="方正书宋_GBK"/>
                <w:b/>
              </w:rPr>
            </w:pPr>
            <w:r>
              <w:rPr>
                <w:rFonts w:ascii="方正书宋_GBK" w:eastAsia="方正书宋_GBK" w:hint="eastAsia"/>
                <w:b/>
              </w:rPr>
              <w:t>单位：万元</w:t>
            </w:r>
          </w:p>
        </w:tc>
      </w:tr>
      <w:tr>
        <w:trPr>
          <w:trHeight w:val="309"/>
          <w:tblHeader/>
        </w:trPr>
        <w:tc>
          <w:tcPr>
            <w:tcW w:w="2444" w:type="dxa"/>
            <w:gridSpan w:val="2"/>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政府采购项目来源</w:t>
            </w:r>
          </w:p>
        </w:tc>
        <w:tc>
          <w:tcPr>
            <w:tcW w:w="1122"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采购物品名称</w:t>
            </w:r>
          </w:p>
        </w:tc>
        <w:tc>
          <w:tcPr>
            <w:tcW w:w="1183"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w:t>
            </w:r>
          </w:p>
        </w:tc>
        <w:tc>
          <w:tcPr>
            <w:tcW w:w="691"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66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数量</w:t>
            </w:r>
          </w:p>
        </w:tc>
        <w:tc>
          <w:tcPr>
            <w:tcW w:w="906"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单价</w:t>
            </w:r>
          </w:p>
        </w:tc>
        <w:tc>
          <w:tcPr>
            <w:tcW w:w="6748" w:type="dxa"/>
            <w:gridSpan w:val="8"/>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政府采购金额</w:t>
            </w:r>
          </w:p>
        </w:tc>
      </w:tr>
      <w:tr>
        <w:trPr>
          <w:trHeight w:val="309"/>
          <w:tblHeader/>
          <w:gridAfter w:val="1"/>
          <w:wAfter w:w="1" w:type="dxa"/>
        </w:trPr>
        <w:tc>
          <w:tcPr>
            <w:tcW w:w="1753"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项目名称</w:t>
            </w:r>
          </w:p>
        </w:tc>
        <w:tc>
          <w:tcPr>
            <w:tcW w:w="690"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预算资金</w:t>
            </w:r>
          </w:p>
        </w:tc>
        <w:tc>
          <w:tcPr>
            <w:tcW w:w="1122" w:type="dxa"/>
            <w:vMerge/>
            <w:tcBorders>
              <w:top w:val="single" w:sz="6" w:space="0" w:color="000000"/>
              <w:left w:val="single" w:sz="6" w:space="0" w:color="000000"/>
              <w:bottom w:val="single" w:sz="6" w:space="0" w:color="000000"/>
              <w:right w:val="single" w:sz="6" w:space="0" w:color="000000"/>
            </w:tcBorders>
            <w:vAlign w:val="center"/>
          </w:tcPr>
          <w:p/>
        </w:tc>
        <w:tc>
          <w:tcPr>
            <w:tcW w:w="1183" w:type="dxa"/>
            <w:vMerge/>
            <w:tcBorders>
              <w:top w:val="single" w:sz="6" w:space="0" w:color="000000"/>
              <w:left w:val="single" w:sz="6" w:space="0" w:color="000000"/>
              <w:bottom w:val="single" w:sz="6" w:space="0" w:color="000000"/>
              <w:right w:val="single" w:sz="6" w:space="0" w:color="000000"/>
            </w:tcBorders>
            <w:vAlign w:val="center"/>
          </w:tcPr>
          <w:p/>
        </w:tc>
        <w:tc>
          <w:tcPr>
            <w:tcW w:w="691" w:type="dxa"/>
            <w:vMerge/>
            <w:tcBorders>
              <w:top w:val="single" w:sz="6" w:space="0" w:color="000000"/>
              <w:left w:val="single" w:sz="6" w:space="0" w:color="000000"/>
              <w:bottom w:val="single" w:sz="6" w:space="0" w:color="000000"/>
              <w:right w:val="single" w:sz="6" w:space="0" w:color="000000"/>
            </w:tcBorders>
            <w:vAlign w:val="center"/>
          </w:tcPr>
          <w:p/>
        </w:tc>
        <w:tc>
          <w:tcPr>
            <w:tcW w:w="665" w:type="dxa"/>
            <w:vMerge/>
            <w:tcBorders>
              <w:top w:val="single" w:sz="6" w:space="0" w:color="000000"/>
              <w:left w:val="single" w:sz="6" w:space="0" w:color="000000"/>
              <w:bottom w:val="single" w:sz="6" w:space="0" w:color="000000"/>
              <w:right w:val="single" w:sz="6" w:space="0" w:color="000000"/>
            </w:tcBorders>
            <w:vAlign w:val="center"/>
          </w:tcPr>
          <w:p/>
        </w:tc>
        <w:tc>
          <w:tcPr>
            <w:tcW w:w="906" w:type="dxa"/>
            <w:vMerge/>
            <w:tcBorders>
              <w:top w:val="single" w:sz="6" w:space="0" w:color="000000"/>
              <w:left w:val="single" w:sz="6" w:space="0" w:color="000000"/>
              <w:bottom w:val="single" w:sz="6" w:space="0" w:color="000000"/>
              <w:right w:val="single" w:sz="6" w:space="0" w:color="000000"/>
            </w:tcBorders>
            <w:vAlign w:val="center"/>
          </w:tcPr>
          <w:p/>
        </w:tc>
        <w:tc>
          <w:tcPr>
            <w:tcW w:w="876"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总计</w:t>
            </w:r>
          </w:p>
        </w:tc>
        <w:tc>
          <w:tcPr>
            <w:tcW w:w="5026" w:type="dxa"/>
            <w:gridSpan w:val="5"/>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当年部门预算安排资金</w:t>
            </w:r>
          </w:p>
        </w:tc>
        <w:tc>
          <w:tcPr>
            <w:tcW w:w="845" w:type="dxa"/>
            <w:vMerge w:val="restart"/>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其他渠道资金</w:t>
            </w:r>
          </w:p>
        </w:tc>
      </w:tr>
      <w:tr>
        <w:trPr>
          <w:trHeight w:val="630"/>
          <w:tblHeader/>
          <w:gridAfter w:val="1"/>
          <w:wAfter w:w="1" w:type="dxa"/>
        </w:trPr>
        <w:tc>
          <w:tcPr>
            <w:tcW w:w="1753" w:type="dxa"/>
            <w:vMerge/>
            <w:tcBorders>
              <w:top w:val="single" w:sz="6" w:space="0" w:color="000000"/>
              <w:left w:val="single" w:sz="6" w:space="0" w:color="000000"/>
              <w:bottom w:val="single" w:sz="6" w:space="0" w:color="000000"/>
              <w:right w:val="single" w:sz="6" w:space="0" w:color="000000"/>
            </w:tcBorders>
            <w:vAlign w:val="center"/>
          </w:tcPr>
          <w:p/>
        </w:tc>
        <w:tc>
          <w:tcPr>
            <w:tcW w:w="690" w:type="dxa"/>
            <w:vMerge/>
            <w:tcBorders>
              <w:top w:val="single" w:sz="6" w:space="0" w:color="000000"/>
              <w:left w:val="single" w:sz="6" w:space="0" w:color="000000"/>
              <w:bottom w:val="single" w:sz="6" w:space="0" w:color="000000"/>
              <w:right w:val="single" w:sz="6" w:space="0" w:color="000000"/>
            </w:tcBorders>
            <w:vAlign w:val="center"/>
          </w:tcPr>
          <w:p/>
        </w:tc>
        <w:tc>
          <w:tcPr>
            <w:tcW w:w="1122" w:type="dxa"/>
            <w:vMerge/>
            <w:tcBorders>
              <w:top w:val="single" w:sz="6" w:space="0" w:color="000000"/>
              <w:left w:val="single" w:sz="6" w:space="0" w:color="000000"/>
              <w:bottom w:val="single" w:sz="6" w:space="0" w:color="000000"/>
              <w:right w:val="single" w:sz="6" w:space="0" w:color="000000"/>
            </w:tcBorders>
            <w:vAlign w:val="center"/>
          </w:tcPr>
          <w:p/>
        </w:tc>
        <w:tc>
          <w:tcPr>
            <w:tcW w:w="1183" w:type="dxa"/>
            <w:vMerge/>
            <w:tcBorders>
              <w:top w:val="single" w:sz="6" w:space="0" w:color="000000"/>
              <w:left w:val="single" w:sz="6" w:space="0" w:color="000000"/>
              <w:bottom w:val="single" w:sz="6" w:space="0" w:color="000000"/>
              <w:right w:val="single" w:sz="6" w:space="0" w:color="000000"/>
            </w:tcBorders>
            <w:vAlign w:val="center"/>
          </w:tcPr>
          <w:p/>
        </w:tc>
        <w:tc>
          <w:tcPr>
            <w:tcW w:w="691" w:type="dxa"/>
            <w:vMerge/>
            <w:tcBorders>
              <w:top w:val="single" w:sz="6" w:space="0" w:color="000000"/>
              <w:left w:val="single" w:sz="6" w:space="0" w:color="000000"/>
              <w:bottom w:val="single" w:sz="6" w:space="0" w:color="000000"/>
              <w:right w:val="single" w:sz="6" w:space="0" w:color="000000"/>
            </w:tcBorders>
            <w:vAlign w:val="center"/>
          </w:tcPr>
          <w:p/>
        </w:tc>
        <w:tc>
          <w:tcPr>
            <w:tcW w:w="665" w:type="dxa"/>
            <w:vMerge/>
            <w:tcBorders>
              <w:top w:val="single" w:sz="6" w:space="0" w:color="000000"/>
              <w:left w:val="single" w:sz="6" w:space="0" w:color="000000"/>
              <w:bottom w:val="single" w:sz="6" w:space="0" w:color="000000"/>
              <w:right w:val="single" w:sz="6" w:space="0" w:color="000000"/>
            </w:tcBorders>
            <w:vAlign w:val="center"/>
          </w:tcPr>
          <w:p/>
        </w:tc>
        <w:tc>
          <w:tcPr>
            <w:tcW w:w="906" w:type="dxa"/>
            <w:vMerge/>
            <w:tcBorders>
              <w:top w:val="single" w:sz="6" w:space="0" w:color="000000"/>
              <w:left w:val="single" w:sz="6" w:space="0" w:color="000000"/>
              <w:bottom w:val="single" w:sz="6" w:space="0" w:color="000000"/>
              <w:right w:val="single" w:sz="6" w:space="0" w:color="000000"/>
            </w:tcBorders>
            <w:vAlign w:val="center"/>
          </w:tcPr>
          <w:p/>
        </w:tc>
        <w:tc>
          <w:tcPr>
            <w:tcW w:w="876" w:type="dxa"/>
            <w:vMerge/>
            <w:tcBorders>
              <w:top w:val="single" w:sz="6" w:space="0" w:color="000000"/>
              <w:left w:val="single" w:sz="6" w:space="0" w:color="000000"/>
              <w:bottom w:val="single" w:sz="6" w:space="0" w:color="000000"/>
              <w:right w:val="single" w:sz="6" w:space="0" w:color="000000"/>
            </w:tcBorders>
            <w:vAlign w:val="center"/>
          </w:tcPr>
          <w:p/>
        </w:tc>
        <w:tc>
          <w:tcPr>
            <w:tcW w:w="86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合计</w:t>
            </w:r>
          </w:p>
        </w:tc>
        <w:tc>
          <w:tcPr>
            <w:tcW w:w="1214"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一般公共预算拨款</w:t>
            </w:r>
          </w:p>
        </w:tc>
        <w:tc>
          <w:tcPr>
            <w:tcW w:w="104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基金预算拨款</w:t>
            </w:r>
          </w:p>
        </w:tc>
        <w:tc>
          <w:tcPr>
            <w:tcW w:w="1014"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财政专户核拨</w:t>
            </w:r>
          </w:p>
        </w:tc>
        <w:tc>
          <w:tcPr>
            <w:tcW w:w="891"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其他来源收入</w:t>
            </w:r>
          </w:p>
        </w:tc>
        <w:tc>
          <w:tcPr>
            <w:tcW w:w="845" w:type="dxa"/>
            <w:vMerge/>
            <w:tcBorders>
              <w:top w:val="single" w:sz="6" w:space="0" w:color="000000"/>
              <w:left w:val="single" w:sz="6" w:space="0" w:color="000000"/>
              <w:bottom w:val="single" w:sz="6" w:space="0" w:color="000000"/>
              <w:right w:val="single" w:sz="6" w:space="0" w:color="000000"/>
            </w:tcBorders>
            <w:vAlign w:val="center"/>
          </w:tcPr>
          <w:p/>
        </w:tc>
      </w:tr>
      <w:tr>
        <w:trPr>
          <w:trHeight w:val="660"/>
          <w:gridAfter w:val="1"/>
          <w:wAfter w:w="1" w:type="dxa"/>
        </w:trPr>
        <w:tc>
          <w:tcPr>
            <w:tcW w:w="1753"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r>
              <w:rPr>
                <w:rFonts w:ascii="方正书宋_GBK" w:eastAsia="方正书宋_GBK" w:hint="eastAsia"/>
                <w:b/>
              </w:rPr>
              <w:t>无</w:t>
            </w:r>
          </w:p>
        </w:tc>
        <w:tc>
          <w:tcPr>
            <w:tcW w:w="69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1122"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b/>
              </w:rPr>
            </w:pPr>
          </w:p>
        </w:tc>
        <w:tc>
          <w:tcPr>
            <w:tcW w:w="1183" w:type="dxa"/>
            <w:tcBorders>
              <w:top w:val="single" w:sz="6" w:space="0" w:color="000000"/>
              <w:left w:val="single" w:sz="6" w:space="0" w:color="000000"/>
              <w:bottom w:val="single" w:sz="6" w:space="0" w:color="000000"/>
              <w:right w:val="single" w:sz="6" w:space="0" w:color="000000"/>
            </w:tcBorders>
            <w:vAlign w:val="center"/>
          </w:tcPr>
          <w:p>
            <w:pPr>
              <w:widowControl/>
              <w:jc w:val="left"/>
              <w:textAlignment w:val="center"/>
              <w:rPr>
                <w:rFonts w:ascii="方正书宋_GBK" w:eastAsia="方正书宋_GBK"/>
                <w:b/>
              </w:rPr>
            </w:pPr>
          </w:p>
        </w:tc>
        <w:tc>
          <w:tcPr>
            <w:tcW w:w="691"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left"/>
              <w:rPr>
                <w:rFonts w:ascii="方正书宋_GBK" w:eastAsia="方正书宋_GBK"/>
                <w:b/>
              </w:rPr>
            </w:pPr>
          </w:p>
        </w:tc>
        <w:tc>
          <w:tcPr>
            <w:tcW w:w="66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right"/>
              <w:rPr>
                <w:rFonts w:ascii="方正书宋_GBK" w:eastAsia="方正书宋_GBK"/>
                <w:b/>
              </w:rPr>
            </w:pPr>
          </w:p>
        </w:tc>
        <w:tc>
          <w:tcPr>
            <w:tcW w:w="906"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876"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860"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1214"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104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1014"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891"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c>
          <w:tcPr>
            <w:tcW w:w="845" w:type="dxa"/>
            <w:tcBorders>
              <w:top w:val="single" w:sz="6" w:space="0" w:color="000000"/>
              <w:left w:val="single" w:sz="6" w:space="0" w:color="000000"/>
              <w:bottom w:val="single" w:sz="6" w:space="0" w:color="000000"/>
              <w:right w:val="single" w:sz="6" w:space="0" w:color="000000"/>
            </w:tcBorders>
            <w:vAlign w:val="center"/>
          </w:tcPr>
          <w:p>
            <w:pPr>
              <w:spacing w:line="300" w:lineRule="exact"/>
              <w:jc w:val="center"/>
              <w:rPr>
                <w:rFonts w:ascii="方正书宋_GBK" w:eastAsia="方正书宋_GBK"/>
                <w:b/>
              </w:rPr>
            </w:pPr>
          </w:p>
        </w:tc>
      </w:tr>
    </w:tbl>
    <w:p>
      <w:pPr>
        <w:ind w:firstLine="640"/>
        <w:rPr>
          <w:rFonts w:ascii="Times New Roman" w:eastAsia="仿宋" w:cs="Times New Roman" w:hAnsi="Times New Roman"/>
          <w:color w:val="000000"/>
          <w:szCs w:val="21"/>
        </w:rPr>
      </w:pPr>
      <w:r>
        <w:rPr>
          <w:rFonts w:ascii="Times New Roman" w:eastAsia="仿宋" w:cs="Times New Roman" w:hAnsi="Times New Roman" w:hint="eastAsia"/>
          <w:color w:val="000000"/>
          <w:szCs w:val="21"/>
        </w:rPr>
        <w:t>注：无政府采购</w:t>
      </w:r>
      <w:r>
        <w:rPr>
          <w:rFonts w:ascii="Times New Roman" w:eastAsia="仿宋" w:cs="Times New Roman" w:hAnsi="Times New Roman"/>
          <w:color w:val="000000"/>
          <w:szCs w:val="21"/>
        </w:rPr>
        <w:t>预算，空表列示</w:t>
      </w:r>
    </w:p>
    <w:p>
      <w:pPr>
        <w:ind w:firstLine="640"/>
        <w:jc w:val="left"/>
        <w:rPr>
          <w:rFonts w:ascii="黑体" w:eastAsia="黑体" w:hAnsi="黑体"/>
          <w:sz w:val="32"/>
        </w:rPr>
      </w:pPr>
      <w:r>
        <w:rPr>
          <w:rFonts w:ascii="黑体" w:eastAsia="黑体" w:hAnsi="黑体"/>
          <w:sz w:val="32"/>
        </w:rPr>
        <w:t>七、国有资产信息</w:t>
      </w:r>
    </w:p>
    <w:p>
      <w:pPr>
        <w:ind w:firstLine="640"/>
        <w:rPr>
          <w:rFonts w:ascii="仿宋_GB2312" w:eastAsia="仿宋_GB2312" w:cs="Times New Roman" w:hAnsi="Times New Roman"/>
          <w:color w:val="000000"/>
          <w:sz w:val="32"/>
          <w:szCs w:val="32"/>
        </w:rPr>
      </w:pPr>
      <w:r>
        <w:rPr>
          <w:rFonts w:ascii="仿宋_GB2312" w:eastAsia="仿宋_GB2312" w:cs="Times New Roman" w:hAnsi="Times New Roman" w:hint="eastAsia"/>
          <w:color w:val="000000"/>
          <w:sz w:val="32"/>
        </w:rPr>
        <w:t>中共深泽县委机构编制委员会办公室2019</w:t>
      </w:r>
      <w:r>
        <w:rPr>
          <w:rFonts w:ascii="仿宋_GB2312" w:eastAsia="仿宋_GB2312" w:cs="宋体" w:hAnsi="宋体" w:hint="eastAsia"/>
          <w:color w:val="000000"/>
          <w:sz w:val="32"/>
        </w:rPr>
        <w:t>年末固定资产金额为</w:t>
      </w:r>
      <w:r>
        <w:rPr>
          <w:rFonts w:ascii="仿宋_GB2312" w:eastAsia="仿宋_GB2312" w:cs="Times New Roman" w:hAnsi="Times New Roman" w:hint="eastAsia"/>
          <w:color w:val="000000"/>
          <w:sz w:val="32"/>
        </w:rPr>
        <w:t>5.42</w:t>
      </w:r>
      <w:r>
        <w:rPr>
          <w:rFonts w:ascii="仿宋_GB2312" w:eastAsia="仿宋_GB2312" w:cs="宋体" w:hAnsi="宋体" w:hint="eastAsia"/>
          <w:color w:val="000000"/>
          <w:sz w:val="32"/>
        </w:rPr>
        <w:t>万元（详见下表）。</w:t>
      </w:r>
      <w:r>
        <w:rPr>
          <w:rFonts w:ascii="仿宋_GB2312" w:eastAsia="仿宋_GB2312" w:cs="Times New Roman" w:hAnsi="Times New Roman" w:hint="eastAsia"/>
          <w:color w:val="000000"/>
          <w:sz w:val="32"/>
          <w:szCs w:val="32"/>
        </w:rPr>
        <w:t>本年度拟购置0万元。</w:t>
      </w:r>
    </w:p>
    <w:p>
      <w:pPr>
        <w:ind w:firstLine="640"/>
        <w:rPr>
          <w:rFonts w:ascii="Times New Roman" w:eastAsia="Times New Roman" w:cs="Times New Roman" w:hAnsi="Times New Roman"/>
          <w:color w:val="000000"/>
          <w:sz w:val="32"/>
        </w:rPr>
      </w:pPr>
    </w:p>
    <w:tbl>
      <w:tblPr>
        <w:tblpPr w:leftFromText="180" w:rightFromText="180" w:vertAnchor="text" w:horzAnchor="page" w:tblpX="1795" w:tblpY="416"/>
        <w:tblOverlap w:val="never"/>
        <w:tblW w:w="1352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983"/>
        <w:gridCol w:w="3144"/>
        <w:gridCol w:w="5393"/>
      </w:tblGrid>
      <w:tr>
        <w:trPr>
          <w:trHeight w:val="682"/>
        </w:trPr>
        <w:tc>
          <w:tcPr>
            <w:tcW w:w="13520" w:type="dxa"/>
            <w:gridSpan w:val="3"/>
            <w:tcBorders>
              <w:top w:val="nil"/>
              <w:left w:val="nil"/>
              <w:bottom w:val="nil"/>
              <w:right w:val="nil"/>
            </w:tcBorders>
            <w:shd w:val="clear" w:color="000000" w:fill="FFFFFF"/>
            <w:vAlign w:val="center"/>
          </w:tcPr>
          <w:p>
            <w:pPr>
              <w:jc w:val="center"/>
              <w:rPr>
                <w:rFonts w:ascii="宋体" w:cs="宋体" w:hAnsi="宋体"/>
                <w:b/>
                <w:sz w:val="32"/>
              </w:rPr>
            </w:pPr>
          </w:p>
          <w:p>
            <w:pPr>
              <w:jc w:val="center"/>
              <w:rPr>
                <w:rFonts w:ascii="宋体" w:cs="宋体" w:hAnsi="宋体"/>
                <w:b/>
                <w:sz w:val="32"/>
              </w:rPr>
            </w:pPr>
          </w:p>
          <w:p>
            <w:pPr>
              <w:jc w:val="center"/>
              <w:rPr>
                <w:rFonts w:ascii="宋体" w:cs="宋体" w:hAnsi="宋体"/>
                <w:b/>
                <w:sz w:val="32"/>
              </w:rPr>
            </w:pPr>
          </w:p>
          <w:p>
            <w:pPr>
              <w:jc w:val="center"/>
              <w:rPr>
                <w:rFonts w:ascii="宋体" w:cs="宋体" w:hAnsi="宋体"/>
              </w:rPr>
            </w:pPr>
            <w:r>
              <w:rPr>
                <w:rFonts w:ascii="宋体" w:cs="宋体" w:hAnsi="宋体" w:hint="eastAsia"/>
                <w:b/>
                <w:sz w:val="32"/>
              </w:rPr>
              <w:t>中共深泽县委机构编制委员会办公室</w:t>
            </w:r>
            <w:r>
              <w:rPr>
                <w:rFonts w:ascii="宋体" w:cs="宋体" w:hAnsi="宋体"/>
                <w:b/>
                <w:sz w:val="32"/>
              </w:rPr>
              <w:t>固定资产占用情况表</w:t>
            </w:r>
          </w:p>
        </w:tc>
      </w:tr>
      <w:tr>
        <w:trPr>
          <w:trHeight w:val="682"/>
        </w:trPr>
        <w:tc>
          <w:tcPr>
            <w:tcW w:w="8127" w:type="dxa"/>
            <w:gridSpan w:val="2"/>
            <w:tcBorders>
              <w:top w:val="nil"/>
              <w:left w:val="nil"/>
              <w:bottom w:val="single" w:sz="4" w:space="0" w:color="000000"/>
              <w:right w:val="nil"/>
            </w:tcBorders>
            <w:shd w:val="clear" w:color="000000" w:fill="FFFFFF"/>
            <w:vAlign w:val="center"/>
          </w:tcPr>
          <w:p>
            <w:pPr>
              <w:jc w:val="left"/>
              <w:rPr>
                <w:rFonts w:ascii="宋体" w:cs="宋体" w:hAnsi="宋体"/>
                <w:sz w:val="22"/>
              </w:rPr>
            </w:pPr>
            <w:r>
              <w:rPr>
                <w:rFonts w:ascii="宋体" w:cs="宋体" w:hAnsi="宋体"/>
                <w:sz w:val="22"/>
              </w:rPr>
              <w:t>编制部门：</w:t>
            </w:r>
            <w:r>
              <w:rPr>
                <w:rFonts w:ascii="宋体" w:cs="宋体" w:hAnsi="宋体" w:hint="eastAsia"/>
                <w:sz w:val="22"/>
              </w:rPr>
              <w:t>中共深泽县委机构编制委员会办公室</w:t>
            </w:r>
          </w:p>
        </w:tc>
        <w:tc>
          <w:tcPr>
            <w:tcW w:w="5393" w:type="dxa"/>
            <w:tcBorders>
              <w:top w:val="nil"/>
              <w:left w:val="nil"/>
              <w:bottom w:val="single" w:sz="4" w:space="0" w:color="000000"/>
              <w:right w:val="nil"/>
            </w:tcBorders>
            <w:shd w:val="clear" w:color="000000" w:fill="FFFFFF"/>
            <w:vAlign w:val="center"/>
          </w:tcPr>
          <w:p>
            <w:pPr>
              <w:ind w:firstLineChars="300" w:firstLine="660"/>
              <w:jc w:val="left"/>
              <w:rPr>
                <w:sz w:val="22"/>
              </w:rPr>
            </w:pPr>
            <w:r>
              <w:rPr>
                <w:rFonts w:ascii="宋体" w:cs="宋体" w:hAnsi="宋体"/>
                <w:sz w:val="22"/>
              </w:rPr>
              <w:t>截止时间：</w:t>
            </w:r>
            <w:r>
              <w:rPr>
                <w:rFonts w:ascii="Times New Roman" w:eastAsia="Times New Roman" w:cs="Times New Roman" w:hAnsi="Times New Roman"/>
                <w:sz w:val="22"/>
              </w:rPr>
              <w:t>2019</w:t>
            </w:r>
            <w:r>
              <w:rPr>
                <w:rFonts w:ascii="宋体" w:cs="宋体" w:hAnsi="宋体"/>
                <w:sz w:val="22"/>
              </w:rPr>
              <w:t>年</w:t>
            </w:r>
            <w:r>
              <w:rPr>
                <w:rFonts w:ascii="Times New Roman" w:eastAsia="Times New Roman" w:cs="Times New Roman" w:hAnsi="Times New Roman"/>
                <w:sz w:val="22"/>
              </w:rPr>
              <w:t>12</w:t>
            </w:r>
            <w:r>
              <w:rPr>
                <w:rFonts w:ascii="宋体" w:cs="宋体" w:hAnsi="宋体"/>
                <w:sz w:val="22"/>
              </w:rPr>
              <w:t>月</w:t>
            </w:r>
            <w:r>
              <w:rPr>
                <w:rFonts w:ascii="Times New Roman" w:eastAsia="Times New Roman" w:cs="Times New Roman" w:hAnsi="Times New Roman"/>
                <w:sz w:val="22"/>
              </w:rPr>
              <w:t>31</w:t>
            </w:r>
            <w:r>
              <w:rPr>
                <w:rFonts w:ascii="宋体" w:cs="宋体" w:hAnsi="宋体"/>
                <w:sz w:val="22"/>
              </w:rPr>
              <w:t>日</w:t>
            </w:r>
          </w:p>
        </w:tc>
      </w:tr>
      <w:tr>
        <w:trPr>
          <w:trHeight w:val="400"/>
        </w:trPr>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b/>
                <w:sz w:val="22"/>
              </w:rPr>
              <w:t>项目</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b/>
                <w:sz w:val="22"/>
              </w:rPr>
              <w:t>数量</w:t>
            </w:r>
          </w:p>
        </w:tc>
        <w:tc>
          <w:tcPr>
            <w:tcW w:w="539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b/>
                <w:sz w:val="22"/>
              </w:rPr>
              <w:t>价值（金额单位：万元）</w:t>
            </w:r>
          </w:p>
        </w:tc>
      </w:tr>
      <w:tr>
        <w:trPr>
          <w:trHeight w:val="400"/>
        </w:trPr>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sz w:val="22"/>
              </w:rPr>
              <w:t>资产总额</w:t>
            </w:r>
          </w:p>
        </w:tc>
        <w:tc>
          <w:tcPr>
            <w:tcW w:w="3144"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sz w:val="22"/>
              </w:rPr>
              <w:t>——</w:t>
            </w:r>
          </w:p>
        </w:tc>
        <w:tc>
          <w:tcPr>
            <w:tcW w:w="5393" w:type="dxa"/>
            <w:tcBorders>
              <w:top w:val="single" w:sz="4"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jc w:val="left"/>
              <w:rPr>
                <w:sz w:val="22"/>
              </w:rPr>
            </w:pPr>
            <w:r>
              <w:rPr>
                <w:rFonts w:ascii="Times New Roman" w:eastAsia="Times New Roman" w:cs="Times New Roman" w:hAnsi="Times New Roman"/>
                <w:sz w:val="22"/>
              </w:rPr>
              <w:t>1</w:t>
            </w:r>
            <w:r>
              <w:rPr>
                <w:rFonts w:ascii="宋体" w:cs="宋体" w:hAnsi="宋体"/>
                <w:sz w:val="22"/>
              </w:rPr>
              <w:t>、房屋（平方米）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jc w:val="left"/>
              <w:rPr>
                <w:rFonts w:ascii="宋体" w:cs="宋体" w:hAnsi="宋体"/>
                <w:sz w:val="22"/>
              </w:rPr>
            </w:pPr>
            <w:r>
              <w:rPr>
                <w:rFonts w:ascii="宋体" w:cs="宋体" w:hAnsi="宋体"/>
                <w:sz w:val="22"/>
              </w:rPr>
              <w:t>其中：办公用房（平方米）</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jc w:val="left"/>
              <w:rPr>
                <w:sz w:val="22"/>
              </w:rPr>
            </w:pPr>
            <w:r>
              <w:rPr>
                <w:rFonts w:ascii="Times New Roman" w:eastAsia="Times New Roman" w:cs="Times New Roman" w:hAnsi="Times New Roman"/>
                <w:sz w:val="22"/>
              </w:rPr>
              <w:t>2</w:t>
            </w:r>
            <w:r>
              <w:rPr>
                <w:rFonts w:ascii="宋体" w:cs="宋体" w:hAnsi="宋体"/>
                <w:sz w:val="22"/>
              </w:rPr>
              <w:t>、车辆（台、辆）</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p>
        </w:tc>
      </w:tr>
      <w:tr>
        <w:trPr>
          <w:trHeight w:val="400"/>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jc w:val="left"/>
              <w:rPr>
                <w:sz w:val="22"/>
              </w:rPr>
            </w:pPr>
            <w:r>
              <w:rPr>
                <w:rFonts w:ascii="Times New Roman" w:eastAsia="Times New Roman" w:cs="Times New Roman" w:hAnsi="Times New Roman"/>
                <w:sz w:val="22"/>
              </w:rPr>
              <w:t>3</w:t>
            </w:r>
            <w:r>
              <w:rPr>
                <w:rFonts w:ascii="宋体" w:cs="宋体" w:hAnsi="宋体"/>
                <w:sz w:val="22"/>
              </w:rPr>
              <w:t>、单价在</w:t>
            </w:r>
            <w:r>
              <w:rPr>
                <w:rFonts w:ascii="Times New Roman" w:eastAsia="Times New Roman" w:cs="Times New Roman" w:hAnsi="Times New Roman"/>
                <w:sz w:val="22"/>
              </w:rPr>
              <w:t>20</w:t>
            </w:r>
            <w:r>
              <w:rPr>
                <w:rFonts w:ascii="宋体" w:cs="宋体" w:hAnsi="宋体"/>
                <w:sz w:val="22"/>
              </w:rPr>
              <w:t>万元以上设备</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sz w:val="22"/>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p>
        </w:tc>
      </w:tr>
      <w:tr>
        <w:trPr>
          <w:trHeight w:val="491"/>
        </w:trPr>
        <w:tc>
          <w:tcPr>
            <w:tcW w:w="4983" w:type="dxa"/>
            <w:tcBorders>
              <w:top w:val="single" w:sz="2" w:space="0" w:color="000000"/>
              <w:left w:val="single" w:sz="4" w:space="0" w:color="000000"/>
              <w:bottom w:val="single" w:sz="4" w:space="0" w:color="000000"/>
              <w:right w:val="single" w:sz="4" w:space="0" w:color="000000"/>
            </w:tcBorders>
            <w:shd w:val="clear" w:color="000000" w:fill="FFFFFF"/>
            <w:vAlign w:val="center"/>
          </w:tcPr>
          <w:p>
            <w:pPr>
              <w:jc w:val="left"/>
              <w:rPr>
                <w:sz w:val="22"/>
              </w:rPr>
            </w:pPr>
            <w:r>
              <w:rPr>
                <w:rFonts w:ascii="Times New Roman" w:eastAsia="Times New Roman" w:cs="Times New Roman" w:hAnsi="Times New Roman"/>
                <w:sz w:val="22"/>
              </w:rPr>
              <w:t>4</w:t>
            </w:r>
            <w:r>
              <w:rPr>
                <w:rFonts w:ascii="宋体" w:cs="宋体" w:hAnsi="宋体"/>
                <w:sz w:val="22"/>
              </w:rPr>
              <w:t>、其他固定资产</w:t>
            </w:r>
          </w:p>
        </w:tc>
        <w:tc>
          <w:tcPr>
            <w:tcW w:w="3144"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rFonts w:ascii="宋体" w:cs="宋体" w:hAnsi="宋体"/>
                <w:sz w:val="22"/>
              </w:rPr>
            </w:pPr>
            <w:r>
              <w:rPr>
                <w:rFonts w:ascii="宋体" w:cs="宋体" w:hAnsi="宋体"/>
                <w:sz w:val="22"/>
              </w:rPr>
              <w:t>——</w:t>
            </w:r>
          </w:p>
        </w:tc>
        <w:tc>
          <w:tcPr>
            <w:tcW w:w="5393" w:type="dxa"/>
            <w:tcBorders>
              <w:top w:val="single" w:sz="2" w:space="0" w:color="000000"/>
              <w:left w:val="single" w:sz="2" w:space="0" w:color="000000"/>
              <w:bottom w:val="single" w:sz="4" w:space="0" w:color="000000"/>
              <w:right w:val="single" w:sz="4" w:space="0" w:color="000000"/>
            </w:tcBorders>
            <w:shd w:val="clear" w:color="000000" w:fill="FFFFFF"/>
            <w:vAlign w:val="center"/>
          </w:tcPr>
          <w:p>
            <w:pPr>
              <w:jc w:val="center"/>
              <w:rPr>
                <w:sz w:val="22"/>
              </w:rPr>
            </w:pPr>
            <w:r>
              <w:rPr>
                <w:rFonts w:ascii="Times New Roman" w:cs="Times New Roman" w:hAnsi="Times New Roman" w:hint="eastAsia"/>
                <w:sz w:val="22"/>
              </w:rPr>
              <w:t>5.42</w:t>
            </w:r>
          </w:p>
        </w:tc>
      </w:tr>
    </w:tbl>
    <w:p>
      <w:pPr>
        <w:jc w:val="left"/>
        <w:rPr>
          <w:rFonts w:ascii="黑体" w:eastAsia="黑体" w:hAnsi="黑体"/>
          <w:sz w:val="32"/>
        </w:rPr>
      </w:pPr>
    </w:p>
    <w:p>
      <w:pPr>
        <w:ind w:firstLine="640"/>
        <w:jc w:val="left"/>
        <w:rPr>
          <w:rFonts w:ascii="黑体" w:eastAsia="黑体" w:hAnsi="黑体"/>
          <w:sz w:val="32"/>
        </w:rPr>
      </w:pPr>
      <w:r>
        <w:rPr>
          <w:rFonts w:ascii="黑体" w:eastAsia="黑体" w:hAnsi="黑体"/>
          <w:sz w:val="32"/>
        </w:rPr>
        <w:t>八、名词解释</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1、一般公共预算拨款收入：指县级财政当年拨付的资金。</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2、事业收入：指事业单位开展专业业务活动及辅助活动所取得的收入。</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3、其他收入：指除“一般公共预算拨款收入”、“事业收入”等以外的收入。主要是按规定动用的租房收入、存款利息收入等。</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4、基本支出：指为保障机构正常运转、完成日常工作任务而发生的人员支出和公用支出。</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5、项目支出：指在基本支出之外为完成特定行政任务和事业发展目标所发生的支出。</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6、上缴上级支出：指下级单位上缴上级的支出。</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7、“三公”经费：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Times New Roman" w:eastAsia="仿宋" w:cs="Times New Roman" w:hAnsi="Times New Roman"/>
          <w:sz w:val="32"/>
          <w:szCs w:val="32"/>
        </w:rPr>
      </w:pPr>
      <w:r>
        <w:rPr>
          <w:rFonts w:ascii="Times New Roman" w:eastAsia="仿宋" w:cs="Times New Roman" w:hAnsi="Times New Roman" w:hint="eastAsia"/>
          <w:sz w:val="32"/>
          <w:szCs w:val="32"/>
        </w:rPr>
        <w:t>9、上年结转：指以前年度尚未完成、结转到本年仍按原规定用途继续使用的资金。</w:t>
      </w:r>
    </w:p>
    <w:p>
      <w:pPr>
        <w:ind w:firstLine="643"/>
        <w:rPr>
          <w:rFonts w:ascii="Times New Roman" w:eastAsia="仿宋" w:cs="Times New Roman" w:hAnsi="Times New Roman"/>
          <w:sz w:val="32"/>
          <w:szCs w:val="32"/>
        </w:rPr>
      </w:pPr>
      <w:r>
        <w:rPr>
          <w:rFonts w:ascii="Times New Roman" w:eastAsia="仿宋" w:cs="Times New Roman" w:hAnsi="Times New Roman" w:hint="eastAsia"/>
          <w:sz w:val="32"/>
          <w:szCs w:val="32"/>
        </w:rPr>
        <w:t>10、事业单位经营支出：指事业单位在专业业务活动及其辅助活动之外开展非独立核算经营活动发生的支出。</w:t>
      </w:r>
    </w:p>
    <w:p>
      <w:pPr>
        <w:ind w:firstLine="643"/>
        <w:rPr>
          <w:rFonts w:ascii="宋体-方正超大字符集" w:eastAsia="宋体-方正超大字符集" w:cs="宋体-方正超大字符集" w:hAnsi="宋体-方正超大字符集"/>
          <w:b/>
          <w:sz w:val="32"/>
        </w:rPr>
      </w:pPr>
      <w:r>
        <w:rPr>
          <w:rFonts w:ascii="宋体" w:cs="宋体" w:hAnsi="宋体"/>
          <w:b/>
          <w:sz w:val="32"/>
        </w:rPr>
        <w:t>九、其他需要说明的事项</w:t>
      </w:r>
    </w:p>
    <w:p>
      <w:pPr>
        <w:ind w:firstLine="640"/>
        <w:rPr>
          <w:rFonts w:ascii="宋体" w:cs="宋体" w:hAnsi="宋体"/>
          <w:sz w:val="32"/>
        </w:rPr>
      </w:pPr>
      <w:r>
        <w:rPr>
          <w:rFonts w:ascii="宋体" w:cs="宋体" w:hAnsi="宋体" w:hint="eastAsia"/>
          <w:sz w:val="32"/>
        </w:rPr>
        <w:t>我单位没有安排政府性基金预算和国有资本经营预算财政拨款，特此说明。</w:t>
      </w:r>
    </w:p>
    <w:p>
      <w:pPr>
        <w:ind w:firstLineChars="200" w:firstLine="640"/>
        <w:rPr>
          <w:rFonts w:ascii="Times New Roman" w:eastAsia="仿宋" w:cs="Times New Roman" w:hAnsi="Times New Roman"/>
          <w:sz w:val="32"/>
          <w:szCs w:val="32"/>
        </w:rPr>
      </w:pPr>
    </w:p>
    <w:sectPr>
      <w:pgSz w:w="16838" w:h="11906" w:orient="landscape"/>
      <w:pgMar w:top="1803" w:right="1440" w:bottom="1803" w:left="1440" w:header="720" w:footer="720" w:gutter="0"/>
      <w:docGrid w:type="lines" w:linePitch="319"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altName w:val="仿宋"/>
    <w:panose1 w:val="02010609030101010101"/>
    <w:charset w:val="86"/>
    <w:family w:val="modern"/>
    <w:pitch w:val="variable"/>
    <w:sig w:usb0="00000001" w:usb1="080E0000" w:usb2="00000010" w:usb3="00000000" w:csb0="00040000" w:csb1="00000000"/>
  </w:font>
  <w:font w:name="方正仿宋_GBK">
    <w:altName w:val="微软雅黑"/>
    <w:panose1 w:val="00000000000000000000"/>
    <w:charset w:val="00"/>
    <w:family w:val="auto"/>
    <w:pitch w:val="variable"/>
  </w:font>
  <w:font w:name="方正书宋_GBK">
    <w:altName w:val="微软雅黑"/>
    <w:panose1 w:val="00000000000000000000"/>
    <w:charset w:val="00"/>
    <w:family w:val="auto"/>
    <w:pitch w:val="variable"/>
  </w:font>
  <w:font w:name="Calibri">
    <w:panose1 w:val="020F0502020204030204"/>
    <w:charset w:val="00"/>
    <w:family w:val="swiss"/>
    <w:pitch w:val="variable"/>
    <w:sig w:usb0="E10002FF" w:usb1="4000ACFF" w:usb2="00000009" w:usb3="00000000" w:csb0="0000019F" w:csb1="00000000"/>
  </w:font>
  <w:font w:name="宋体-方正超大字符集">
    <w:altName w:val="宋体"/>
    <w:panose1 w:val="00000000000000000000"/>
    <w:charset w:val="00"/>
    <w:family w:val="auto"/>
    <w:pitch w:val="variable"/>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outside" w:y="1" w:anchorLock="0"/>
      <w:tabs>
        <w:tab w:val="center" w:pos="4153"/>
        <w:tab w:val="right" w:pos="8306"/>
      </w:tabs>
      <w:rPr>
        <w:rStyle w:val="22"/>
      </w:rPr>
    </w:pPr>
    <w:r>
      <w:rPr>
        <w:rStyle w:val="22"/>
      </w:rPr>
      <w:fldChar w:fldCharType="begin"/>
    </w:r>
    <w:r>
      <w:rPr>
        <w:rStyle w:val="22"/>
      </w:rPr>
      <w:instrText xml:space="preserve">PAGE  </w:instrText>
    </w:r>
    <w:r>
      <w:fldChar w:fldCharType="separate"/>
    </w:r>
    <w:r>
      <w:rPr>
        <w:rStyle w:val="22"/>
      </w:rPr>
      <w:t>15</w:t>
    </w:r>
    <w:r>
      <w:fldChar w:fldCharType="end"/>
    </w:r>
  </w:p>
  <w:p>
    <w:pPr>
      <w:pStyle w:val="15"/>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E9FAD79"/>
    <w:multiLevelType w:val="singleLevel"/>
    <w:tmpl w:val="5E9FAD79"/>
    <w:lvl w:ilvl="0">
      <w:start w:val="2"/>
      <w:numFmt w:val="chineseCounting"/>
      <w:lvlRestart w:val="0"/>
      <w:suff w:val="nothing"/>
      <w:lvlText w:val="（%1）"/>
      <w:lvlJc w:val="left"/>
      <w:pPr>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doNotSuppressIndentation/>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Times New Roman" w:cs="Times New Roman" w:hAnsi="Times New Roman"/>
      <w:sz w:val="18"/>
      <w:szCs w:val="18"/>
    </w:rPr>
  </w:style>
  <w:style w:type="paragraph" w:styleId="16">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7">
    <w:name w:val="toc 1"/>
    <w:basedOn w:val="0"/>
    <w:next w:val="0"/>
    <w:rPr>
      <w:rFonts w:ascii="Times New Roman" w:cs="Times New Roman" w:hAnsi="Times New Roman"/>
      <w:szCs w:val="24"/>
    </w:rPr>
  </w:style>
  <w:style w:type="paragraph" w:styleId="18">
    <w:name w:val="footnote text"/>
    <w:basedOn w:val="0"/>
    <w:pPr>
      <w:snapToGrid w:val="0"/>
      <w:jc w:val="left"/>
    </w:pPr>
    <w:rPr>
      <w:sz w:val="18"/>
      <w:szCs w:val="18"/>
    </w:rPr>
  </w:style>
  <w:style w:type="paragraph" w:styleId="19">
    <w:name w:val="toc 2"/>
    <w:basedOn w:val="0"/>
    <w:next w:val="0"/>
    <w:pPr>
      <w:ind w:leftChars="200" w:left="200"/>
    </w:pPr>
    <w:rPr>
      <w:rFonts w:ascii="Times New Roman" w:cs="Times New Roman" w:hAnsi="Times New Roman"/>
      <w:szCs w:val="24"/>
    </w:rPr>
  </w:style>
  <w:style w:type="character" w:styleId="20">
    <w:name w:val="footnote reference"/>
    <w:rPr>
      <w:vertAlign w:val="superscript"/>
    </w:rPr>
  </w:style>
  <w:style w:type="paragraph" w:customStyle="1" w:styleId="21">
    <w:name w:val="Char"/>
    <w:basedOn w:val="0"/>
    <w:rPr>
      <w:rFonts w:ascii="Times New Roman" w:cs="Times New Roman" w:hAnsi="Times New Roman"/>
      <w:szCs w:val="24"/>
    </w:rPr>
  </w:style>
  <w:style w:type="character" w:customStyle="1" w:styleId="22">
    <w:name w:val="页码1"/>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customProps>
</customData>
</file>

<file path=customXml/itemProps1.xml><?xml version="1.0" encoding="utf-8"?>
<ds:datastoreItem xmlns:ds="http://schemas.openxmlformats.org/officeDocument/2006/customXml" ds:itemID="{60C1A83B-8C25-4081-89CF-0A069057FB08}">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11</TotalTime>
  <Application>Yozo_Office27021597764231179</Application>
  <Pages>17</Pages>
  <Words>0</Words>
  <Characters>5913</Characters>
  <Lines>0</Lines>
  <Paragraphs>99</Paragraphs>
  <CharactersWithSpaces>7885</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o</dc:title>
  <dc:creator>guest</dc:creator>
  <cp:lastModifiedBy>Administrator</cp:lastModifiedBy>
  <cp:revision>9</cp:revision>
  <cp:lastPrinted>2020-02-21T07:43:00Z</cp:lastPrinted>
  <dcterms:created xsi:type="dcterms:W3CDTF">2017-01-23T17:29:00Z</dcterms:created>
  <dcterms:modified xsi:type="dcterms:W3CDTF">2024-01-02T06:37:08Z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2052-10.1.0.6748</vt:lpwstr>
  </property>
</Properties>
</file>