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-973455</wp:posOffset>
            </wp:positionH>
            <wp:positionV relativeFrom="page">
              <wp:posOffset>-4445</wp:posOffset>
            </wp:positionV>
            <wp:extent cx="7559040" cy="10692130"/>
            <wp:effectExtent l="0" t="0" r="0" b="6350"/>
            <wp:wrapNone/>
            <wp:docPr id="5" name="图片 5" descr="公开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开封面2"/>
                    <pic:cNvPicPr>
                      <a:picLocks noChangeAspect="1"/>
                    </pic:cNvPicPr>
                  </pic:nvPicPr>
                  <pic:blipFill>
                    <a:blip r:embed="rId13"/>
                    <a:stretch>
                      <a:fillRect/>
                    </a:stretch>
                  </pic:blipFill>
                  <pic:spPr>
                    <a:xfrm>
                      <a:off x="0" y="0"/>
                      <a:ext cx="7559040" cy="10692130"/>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lang w:eastAsia="zh-CN"/>
        </w:rPr>
        <w:t>中共任丘市委机构编制委员会办公室</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二〇二一年八月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f95gjcAAAADQEAAA8A&#10;AAAAAAAAAQAgAAAAIgAAAGRycy9kb3ducmV2LnhtbFBLAQIUABQAAAAIAIdO4kCVxoSdhQIAACMF&#10;AAAOAAAAAAAAAAEAIAAAACsBAABkcnMvZTJvRG9jLnhtbFBLBQYAAAAABgAGAFkBAAAiBgAAAAA=&#10;">
                <v:fill type="pattern" on="t" color2="#FFFFFF [3212]"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根据《中共任丘市委机构编制委员会办公室职能配置、内设机构和人员编制规定》， 中共任丘市委机构编制委员会办公室的主要职责是：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落实党中央和省委关于行政管理体制和机构改革以及机构编制管理的政策法规。拟订相关规定和办法并组织实施。管理全市党委、人大、政府、政协、监察委机关，人民团体机关以及全市事业单位的机构编制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组织拟订全市行政管理体制改革和市委、市政府机构改革方案并组织实施。拟订党委、人大、政府、政协、监察委机关、人民团体机关行政管理体制和机构改革方案，经批准后组织实施；负责全市行政管理体制和机构改革以及机构编制管理工作；负责行政执法体制改革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（三）协调市委、市政府各部门的职能配置及其调整。协调市委、市政府部门之间以及市直部门与各乡镇办事处的职责分工。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审核或审批市委、市政府各部门及部门派出机构的职能配置、机构设置、人员编制和领导职数；审核市人大、市政协、市监察委和市级各民主党、人民团体机关的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（五）负责需要承办的垂直管理部门或双重管理部门（单位）机构编制有关事宜。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组织拟订全市事业单位管理体制和机构改革方案。执行各类事业单位人员编制标准和管理办法，负责推进事业单位机构编制标准体系建设；审核或审批市委、市政府直属事业单位和市直部门及乡镇办事处开发区所属事业单位的机构编制事宜；负责全市事业单位管理体制改革和机构编制管理工作。负责全市党政群机关统一社会信用代码赋码管理工作，负责全市事业单位法人登记管理和监督检查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（七）负责全市开发区（园区）行政管理体制改革工作。贯彻执行上级关于开发区（园区）机构编制管理办法，审核开发区（园区）职能配置、机构设置、人员编制和领导职数。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全市机构编制的总量控制和动态管理。会同有关部门负责机构编制实名制管理工作；负责全市机关事业单位编制使用核准；负责全市机关事业单位科级领导职数管理台账；负责全市机关事业单位股级领导职数核定、使用和管理工作；建立健全机构编制部门与有关部门间的协调配合约束机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（九）负责对市乡两级行政、事业单位管理体制和机构改革及机构编制执行情况的跟踪评估和监督检查。负责受理违反机构编制法规、纪律的检举、控告和投诉，对违反机构编制法规、纪律问题进行调查处理。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负责全市机构编制电子政务和信息化工作。负责全市机构编制统计工作；负责机构编制网站的建设管理以及网络安全工作；负责全市党政群机关、事业单位和其他非营利性单位网上名称管理工作；负责电子政务建设和信息化建设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（十一）组织开展行政体制改革及机构编制管理创新基础性和前瞻性研究。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（十二）完成市委、市政府和市委机构编制委员会交办的其他任务。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w:t>
      </w:r>
      <w:r>
        <w:rPr>
          <w:rFonts w:hint="eastAsia" w:ascii="仿宋_GB2312" w:hAnsi="Calibri" w:eastAsia="仿宋_GB2312" w:cs="ArialUnicodeMS"/>
          <w:kern w:val="0"/>
          <w:sz w:val="32"/>
          <w:szCs w:val="32"/>
          <w:lang w:val="en-US" w:eastAsia="zh-CN"/>
        </w:rPr>
        <w:t>20</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w:t>
      </w:r>
      <w:r>
        <w:rPr>
          <w:rFonts w:hint="eastAsia" w:ascii="仿宋_GB2312" w:hAnsi="Calibri" w:eastAsia="仿宋_GB2312" w:cs="ArialUnicodeMS"/>
          <w:kern w:val="0"/>
          <w:sz w:val="32"/>
          <w:szCs w:val="32"/>
          <w:lang w:val="en-US" w:eastAsia="zh-CN"/>
        </w:rPr>
        <w:t>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05"/>
        <w:gridCol w:w="232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60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32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60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方正书宋_GBK" w:eastAsia="方正书宋_GBK"/>
              </w:rPr>
              <w:t>中共任丘市委机构编制委员会办公室</w:t>
            </w:r>
          </w:p>
        </w:tc>
        <w:tc>
          <w:tcPr>
            <w:tcW w:w="232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numPr>
                <w:ilvl w:val="0"/>
                <w:numId w:val="0"/>
              </w:numPr>
              <w:spacing w:after="0" w:line="560" w:lineRule="exact"/>
              <w:jc w:val="left"/>
              <w:rPr>
                <w:rFonts w:hint="eastAsia" w:ascii="仿宋_GB2312" w:hAnsi="Calibri" w:eastAsia="仿宋_GB2312" w:cs="ArialUnicodeMS"/>
                <w:kern w:val="0"/>
                <w:sz w:val="28"/>
                <w:szCs w:val="28"/>
                <w:highlight w:val="none"/>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注：1、单位基本性质分为行政单位、参公事业单位、财政补助事业单位、经费自理事业单位四类。</w:t>
            </w:r>
          </w:p>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highlight w:val="none"/>
                <w:vertAlign w:val="baseline"/>
                <w:lang w:val="en-US" w:eastAsia="zh-CN"/>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3360;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wXDtHdAAAADgEAAA8A&#10;AAAAAAAAAQAgAAAAIgAAAGRycy9kb3ducmV2LnhtbFBLAQIUABQAAAAIAIdO4kBTlixyhAIAAB8F&#10;AAAOAAAAAAAAAAEAIAAAACwBAABkcnMvZTJvRG9jLnhtbFBLBQYAAAAABgAGAFkBAAAiBgAAAAA=&#10;">
                <v:fill type="pattern" on="t" color2="#FFFFFF [3212]"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14.28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8.02</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Wingdings"/>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4384"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4126230</wp:posOffset>
                </wp:positionH>
                <wp:positionV relativeFrom="paragraph">
                  <wp:posOffset>231140</wp:posOffset>
                </wp:positionV>
                <wp:extent cx="712470" cy="328930"/>
                <wp:effectExtent l="0" t="0" r="11430" b="13970"/>
                <wp:wrapNone/>
                <wp:docPr id="9" name="文本框 9"/>
                <wp:cNvGraphicFramePr/>
                <a:graphic xmlns:a="http://schemas.openxmlformats.org/drawingml/2006/main">
                  <a:graphicData uri="http://schemas.microsoft.com/office/word/2010/wordprocessingShape">
                    <wps:wsp>
                      <wps:cNvSpPr txBox="1"/>
                      <wps:spPr>
                        <a:xfrm>
                          <a:off x="0" y="0"/>
                          <a:ext cx="712470" cy="328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pt;margin-top:18.2pt;height:25.9pt;width:56.1pt;z-index:251669504;mso-width-relative:page;mso-height-relative:page;" fillcolor="#FFFFFF [3201]" filled="t" stroked="f" coordsize="21600,21600" o:gfxdata="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ZlkitUAAAAJAQAADwAAAAAAAAABACAAAAAiAAAAZHJzL2Rvd25yZXYueG1s&#10;UEsBAhQAFAAAAAgAh07iQAGnZaI0AgAAQAQAAA4AAAAAAAAAAQAgAAAAJAEAAGRycy9lMm9Eb2Mu&#10;eG1sUEsFBgAAAAAGAAYAWQEAAMoFA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单位：万元</w:t>
                      </w:r>
                    </w:p>
                  </w:txbxContent>
                </v:textbox>
              </v:shape>
            </w:pict>
          </mc:Fallback>
        </mc:AlternateContent>
      </w: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 w:hAnsi="仿宋" w:eastAsia="仿宋"/>
          <w:sz w:val="32"/>
          <w:lang w:val="en-US" w:eastAsia="zh-CN"/>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 w:hAnsi="仿宋" w:eastAsia="仿宋"/>
          <w:sz w:val="32"/>
        </w:rPr>
        <w:t>事业收入0万元</w:t>
      </w:r>
      <w:r>
        <w:rPr>
          <w:rFonts w:hint="eastAsia" w:ascii="仿宋_GB2312" w:eastAsia="仿宋_GB2312" w:cs="DengXian-Regular"/>
          <w:sz w:val="32"/>
          <w:szCs w:val="32"/>
        </w:rPr>
        <w:t>，占0%；</w:t>
      </w:r>
      <w:r>
        <w:rPr>
          <w:rFonts w:hint="eastAsia" w:ascii="仿宋_GB2312" w:hAnsi="Times New Roman" w:eastAsia="仿宋_GB2312" w:cs="DengXian-Regular"/>
          <w:sz w:val="32"/>
          <w:szCs w:val="32"/>
        </w:rPr>
        <w:t>经营收入0万元，占0%；</w:t>
      </w:r>
      <w:r>
        <w:rPr>
          <w:rFonts w:hint="eastAsia" w:ascii="仿宋" w:hAnsi="仿宋" w:eastAsia="仿宋"/>
          <w:sz w:val="32"/>
        </w:rPr>
        <w:t>其他收入0万元</w:t>
      </w:r>
      <w:r>
        <w:rPr>
          <w:rFonts w:hint="eastAsia" w:ascii="仿宋_GB2312" w:eastAsia="仿宋_GB2312" w:cs="DengXian-Regular"/>
          <w:sz w:val="32"/>
          <w:szCs w:val="32"/>
        </w:rPr>
        <w:t>，占0%。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168.83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87.8</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23.46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12.2</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hint="eastAsia" w:ascii="仿宋_GB2312" w:hAnsi="Times New Roman" w:eastAsia="仿宋_GB2312" w:cs="Wingdings"/>
          <w:sz w:val="32"/>
          <w:szCs w:val="32"/>
          <w:lang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3760470</wp:posOffset>
                </wp:positionH>
                <wp:positionV relativeFrom="paragraph">
                  <wp:posOffset>-6985</wp:posOffset>
                </wp:positionV>
                <wp:extent cx="712470" cy="328930"/>
                <wp:effectExtent l="0" t="0" r="11430" b="13970"/>
                <wp:wrapNone/>
                <wp:docPr id="8" name="文本框 8"/>
                <wp:cNvGraphicFramePr/>
                <a:graphic xmlns:a="http://schemas.openxmlformats.org/drawingml/2006/main">
                  <a:graphicData uri="http://schemas.microsoft.com/office/word/2010/wordprocessingShape">
                    <wps:wsp>
                      <wps:cNvSpPr txBox="1"/>
                      <wps:spPr>
                        <a:xfrm>
                          <a:off x="4732655" y="1325245"/>
                          <a:ext cx="712470" cy="328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1pt;margin-top:-0.55pt;height:25.9pt;width:56.1pt;z-index:251667456;mso-width-relative:page;mso-height-relative:page;" fillcolor="#FFFFFF [3201]" filled="t" stroked="f" coordsize="21600,21600" o:gfxdata="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SxnyHVAAAACQEAAA8AAAAAAAAAAQAgAAAAIgAAAGRy&#10;cy9kb3ducmV2LnhtbFBLAQIUABQAAAAIAIdO4kBhCr3tQQIAAEwEAAAOAAAAAAAAAAEAIAAAACQB&#10;AABkcnMvZTJvRG9jLnhtbFBLBQYAAAAABgAGAFkBAADXBQ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单位：万元</w:t>
                      </w:r>
                    </w:p>
                  </w:txbxContent>
                </v:textbox>
              </v:shape>
            </w:pict>
          </mc:Fallback>
        </mc:AlternateContent>
      </w:r>
      <w:r>
        <w:rPr>
          <w:rFonts w:hint="eastAsia" w:ascii="仿宋_GB2312" w:hAnsi="Times New Roman" w:eastAsia="仿宋_GB2312" w:cs="Wingdings"/>
          <w:sz w:val="32"/>
          <w:szCs w:val="32"/>
        </w:rPr>
        <w:drawing>
          <wp:anchor distT="0" distB="0" distL="114300" distR="114300" simplePos="0" relativeHeight="251668480" behindDoc="1" locked="0" layoutInCell="1" allowOverlap="1">
            <wp:simplePos x="0" y="0"/>
            <wp:positionH relativeFrom="column">
              <wp:posOffset>702945</wp:posOffset>
            </wp:positionH>
            <wp:positionV relativeFrom="paragraph">
              <wp:posOffset>-339090</wp:posOffset>
            </wp:positionV>
            <wp:extent cx="4157980" cy="2273300"/>
            <wp:effectExtent l="0" t="0" r="13970" b="1270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14.28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8.02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人员经费增加基本收入增加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14.28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8.02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人员经费增加基本支出增加</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hint="eastAsia" w:ascii="楷体_GB2312" w:hAnsi="Times New Roman" w:eastAsia="楷体_GB2312" w:cs="Mongolian Baiti"/>
          <w:b/>
          <w:bCs/>
          <w:sz w:val="32"/>
          <w:szCs w:val="32"/>
        </w:rPr>
      </w:pPr>
      <w:r>
        <w:rPr>
          <w:rFonts w:hint="eastAsia" w:ascii="仿宋_GB2312" w:hAnsi="Times New Roman" w:eastAsia="仿宋_GB2312" w:cs="Wingdings"/>
          <w:sz w:val="32"/>
          <w:szCs w:val="32"/>
          <w:lang w:eastAsia="zh-CN"/>
        </w:rPr>
        <w:drawing>
          <wp:anchor distT="0" distB="0" distL="114300" distR="114300" simplePos="0" relativeHeight="251670528" behindDoc="0" locked="0" layoutInCell="1" allowOverlap="1">
            <wp:simplePos x="0" y="0"/>
            <wp:positionH relativeFrom="column">
              <wp:posOffset>418465</wp:posOffset>
            </wp:positionH>
            <wp:positionV relativeFrom="paragraph">
              <wp:posOffset>76200</wp:posOffset>
            </wp:positionV>
            <wp:extent cx="4540250" cy="2548890"/>
            <wp:effectExtent l="0" t="0" r="12700" b="381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napToGrid w:val="0"/>
        <w:spacing w:line="600" w:lineRule="exact"/>
        <w:ind w:firstLine="643" w:firstLineChars="200"/>
        <w:rPr>
          <w:rFonts w:hint="eastAsia" w:ascii="楷体_GB2312" w:hAnsi="Times New Roman" w:eastAsia="楷体_GB2312" w:cs="Mongolian Baiti"/>
          <w:b/>
          <w:bCs/>
          <w:sz w:val="32"/>
          <w:szCs w:val="32"/>
        </w:rPr>
      </w:pPr>
    </w:p>
    <w:p>
      <w:pPr>
        <w:snapToGrid w:val="0"/>
        <w:spacing w:line="600" w:lineRule="exact"/>
        <w:ind w:firstLine="643" w:firstLineChars="200"/>
        <w:rPr>
          <w:rFonts w:hint="eastAsia" w:ascii="楷体_GB2312" w:hAnsi="Times New Roman" w:eastAsia="楷体_GB2312" w:cs="Mongolian Baiti"/>
          <w:b/>
          <w:bCs/>
          <w:sz w:val="32"/>
          <w:szCs w:val="32"/>
        </w:rPr>
      </w:pPr>
    </w:p>
    <w:p>
      <w:pPr>
        <w:snapToGrid w:val="0"/>
        <w:spacing w:line="600" w:lineRule="exact"/>
        <w:ind w:firstLine="643" w:firstLineChars="200"/>
        <w:rPr>
          <w:rFonts w:hint="eastAsia" w:ascii="楷体_GB2312" w:hAnsi="Times New Roman" w:eastAsia="楷体_GB2312" w:cs="Mongolian Baiti"/>
          <w:b/>
          <w:bCs/>
          <w:sz w:val="32"/>
          <w:szCs w:val="32"/>
        </w:rPr>
      </w:pPr>
    </w:p>
    <w:p>
      <w:pPr>
        <w:snapToGrid w:val="0"/>
        <w:spacing w:line="600" w:lineRule="exact"/>
        <w:ind w:firstLine="643" w:firstLineChars="200"/>
        <w:rPr>
          <w:rFonts w:hint="eastAsia" w:ascii="楷体_GB2312" w:hAnsi="Times New Roman" w:eastAsia="楷体_GB2312" w:cs="Mongolian Baiti"/>
          <w:b/>
          <w:bCs/>
          <w:sz w:val="32"/>
          <w:szCs w:val="32"/>
        </w:rPr>
      </w:pPr>
    </w:p>
    <w:p>
      <w:pPr>
        <w:snapToGrid w:val="0"/>
        <w:spacing w:line="600" w:lineRule="exact"/>
        <w:ind w:firstLine="643" w:firstLineChars="200"/>
        <w:rPr>
          <w:rFonts w:hint="eastAsia" w:ascii="楷体_GB2312" w:hAnsi="Times New Roman" w:eastAsia="楷体_GB2312" w:cs="Mongolian Baiti"/>
          <w:b/>
          <w:bCs/>
          <w:sz w:val="32"/>
          <w:szCs w:val="32"/>
        </w:rPr>
      </w:pPr>
    </w:p>
    <w:p>
      <w:pPr>
        <w:snapToGrid w:val="0"/>
        <w:spacing w:line="600" w:lineRule="exact"/>
        <w:ind w:firstLine="643" w:firstLineChars="200"/>
        <w:rPr>
          <w:rFonts w:hint="eastAsia" w:ascii="楷体_GB2312" w:hAnsi="Times New Roman" w:eastAsia="楷体_GB2312" w:cs="Mongolian Baiti"/>
          <w:b/>
          <w:bCs/>
          <w:sz w:val="32"/>
          <w:szCs w:val="32"/>
        </w:rPr>
      </w:pPr>
    </w:p>
    <w:p>
      <w:pPr>
        <w:keepNext w:val="0"/>
        <w:keepLines w:val="0"/>
        <w:pageBreakBefore w:val="0"/>
        <w:widowControl w:val="0"/>
        <w:kinsoku/>
        <w:wordWrap/>
        <w:overflowPunct/>
        <w:topLinePunct w:val="0"/>
        <w:autoSpaceDE/>
        <w:autoSpaceDN/>
        <w:bidi w:val="0"/>
        <w:adjustRightInd w:val="0"/>
        <w:snapToGrid w:val="0"/>
        <w:spacing w:after="160" w:line="400" w:lineRule="exact"/>
        <w:jc w:val="center"/>
        <w:textAlignment w:val="auto"/>
        <w:rPr>
          <w:rFonts w:hint="default" w:ascii="楷体_GB2312" w:hAnsi="楷体_GB2312" w:eastAsia="楷体_GB2312" w:cs="楷体_GB2312"/>
          <w:sz w:val="28"/>
          <w:szCs w:val="28"/>
          <w:lang w:val="en-US"/>
        </w:rPr>
      </w:pPr>
      <w:r>
        <w:rPr>
          <w:rFonts w:hint="eastAsia" w:ascii="楷体_GB2312" w:hAnsi="楷体_GB2312" w:eastAsia="楷体_GB2312" w:cs="楷体_GB2312"/>
          <w:sz w:val="28"/>
          <w:szCs w:val="28"/>
        </w:rPr>
        <w:t>图</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2019-2020财政拨款支出对比情况</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100.03</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0.06</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100.03</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0.06</w:t>
      </w:r>
      <w:r>
        <w:rPr>
          <w:rFonts w:hint="eastAsia" w:ascii="仿宋_GB2312" w:hAnsi="Times New Roman" w:eastAsia="仿宋_GB2312" w:cs="Wingdings"/>
          <w:sz w:val="32"/>
          <w:szCs w:val="32"/>
        </w:rPr>
        <w:t>万元，决算数大于预算数主要原因是主要是</w:t>
      </w:r>
      <w:r>
        <w:rPr>
          <w:rFonts w:hint="eastAsia" w:ascii="仿宋_GB2312" w:hAnsi="Times New Roman" w:eastAsia="仿宋_GB2312" w:cs="Wingdings"/>
          <w:sz w:val="32"/>
          <w:szCs w:val="32"/>
          <w:lang w:eastAsia="zh-CN"/>
        </w:rPr>
        <w:t>人员经费增加</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192.29</w:t>
      </w:r>
      <w:r>
        <w:rPr>
          <w:rFonts w:hint="eastAsia" w:ascii="仿宋_GB2312" w:hAnsi="Times New Roman" w:eastAsia="仿宋_GB2312" w:cs="Wingdings"/>
          <w:sz w:val="32"/>
          <w:szCs w:val="32"/>
        </w:rPr>
        <w:t>万元，主要用于以下方面：</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160.20</w:t>
      </w:r>
      <w:r>
        <w:rPr>
          <w:rFonts w:hint="eastAsia" w:ascii="仿宋_GB2312" w:hAnsi="Times New Roman" w:eastAsia="仿宋_GB2312" w:cs="DengXian-Regular"/>
          <w:sz w:val="32"/>
          <w:szCs w:val="32"/>
        </w:rPr>
        <w:t>万元，占8</w:t>
      </w:r>
      <w:r>
        <w:rPr>
          <w:rFonts w:hint="eastAsia" w:ascii="仿宋_GB2312" w:hAnsi="Times New Roman" w:eastAsia="仿宋_GB2312" w:cs="DengXian-Regular"/>
          <w:sz w:val="32"/>
          <w:szCs w:val="32"/>
          <w:lang w:val="en-US" w:eastAsia="zh-CN"/>
        </w:rPr>
        <w:t>3.30</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13.56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7.04</w:t>
      </w:r>
      <w:r>
        <w:rPr>
          <w:rFonts w:hint="eastAsia" w:ascii="仿宋_GB2312" w:hAnsi="Times New Roman" w:eastAsia="仿宋_GB2312" w:cs="DengXian-Regular"/>
          <w:sz w:val="32"/>
          <w:szCs w:val="32"/>
        </w:rPr>
        <w:t>%；卫生健康（类）支出8.</w:t>
      </w:r>
      <w:r>
        <w:rPr>
          <w:rFonts w:hint="eastAsia" w:ascii="仿宋_GB2312" w:hAnsi="Times New Roman" w:eastAsia="仿宋_GB2312" w:cs="DengXian-Regular"/>
          <w:sz w:val="32"/>
          <w:szCs w:val="32"/>
          <w:lang w:val="en-US" w:eastAsia="zh-CN"/>
        </w:rPr>
        <w:t>48</w:t>
      </w:r>
      <w:r>
        <w:rPr>
          <w:rFonts w:hint="eastAsia" w:ascii="仿宋_GB2312" w:hAnsi="Times New Roman" w:eastAsia="仿宋_GB2312" w:cs="DengXian-Regular"/>
          <w:sz w:val="32"/>
          <w:szCs w:val="32"/>
        </w:rPr>
        <w:t>万元，占4.</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10.05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5.26</w:t>
      </w:r>
      <w:r>
        <w:rPr>
          <w:rFonts w:hint="eastAsia" w:ascii="仿宋_GB2312" w:hAnsi="Times New Roman" w:eastAsia="仿宋_GB2312" w:cs="DengXian-Regular"/>
          <w:sz w:val="32"/>
          <w:szCs w:val="32"/>
        </w:rPr>
        <w:t>%。</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anchor distT="0" distB="0" distL="114300" distR="114300" simplePos="0" relativeHeight="251671552" behindDoc="0" locked="0" layoutInCell="1" allowOverlap="1">
            <wp:simplePos x="0" y="0"/>
            <wp:positionH relativeFrom="column">
              <wp:posOffset>194945</wp:posOffset>
            </wp:positionH>
            <wp:positionV relativeFrom="paragraph">
              <wp:posOffset>220980</wp:posOffset>
            </wp:positionV>
            <wp:extent cx="4984750" cy="3753485"/>
            <wp:effectExtent l="0" t="0" r="6350" b="1841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hint="eastAsia" w:ascii="楷体_GB2312" w:hAnsi="Times New Roman" w:eastAsia="楷体_GB2312" w:cs="Mongolian Baiti"/>
          <w:b/>
          <w:bCs/>
          <w:sz w:val="32"/>
          <w:szCs w:val="32"/>
        </w:rPr>
      </w:pPr>
    </w:p>
    <w:p>
      <w:pPr>
        <w:adjustRightInd w:val="0"/>
        <w:snapToGrid w:val="0"/>
        <w:spacing w:line="600" w:lineRule="exact"/>
        <w:ind w:left="420" w:leftChars="200"/>
        <w:rPr>
          <w:rFonts w:hint="eastAsia" w:ascii="楷体_GB2312" w:hAnsi="Times New Roman" w:eastAsia="楷体_GB2312" w:cs="Mongolian Baiti"/>
          <w:b/>
          <w:bCs/>
          <w:sz w:val="32"/>
          <w:szCs w:val="32"/>
        </w:rPr>
      </w:pPr>
      <w:r>
        <mc:AlternateContent>
          <mc:Choice Requires="wps">
            <w:drawing>
              <wp:anchor distT="0" distB="0" distL="114300" distR="114300" simplePos="0" relativeHeight="251672576" behindDoc="0" locked="0" layoutInCell="1" allowOverlap="1">
                <wp:simplePos x="0" y="0"/>
                <wp:positionH relativeFrom="column">
                  <wp:posOffset>-4318000</wp:posOffset>
                </wp:positionH>
                <wp:positionV relativeFrom="paragraph">
                  <wp:posOffset>29210</wp:posOffset>
                </wp:positionV>
                <wp:extent cx="3221355" cy="412115"/>
                <wp:effectExtent l="0" t="0" r="17145" b="6985"/>
                <wp:wrapNone/>
                <wp:docPr id="17" name="文本框 17"/>
                <wp:cNvGraphicFramePr/>
                <a:graphic xmlns:a="http://schemas.openxmlformats.org/drawingml/2006/main">
                  <a:graphicData uri="http://schemas.microsoft.com/office/word/2010/wordprocessingShape">
                    <wps:wsp>
                      <wps:cNvSpPr txBox="1"/>
                      <wps:spPr>
                        <a:xfrm>
                          <a:off x="0" y="0"/>
                          <a:ext cx="3221670" cy="41204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_GB2312" w:hAnsi="楷体_GB2312" w:eastAsia="楷体_GB2312" w:cs="楷体_GB2312"/>
                                <w:sz w:val="24"/>
                                <w:szCs w:val="32"/>
                                <w:lang w:val="en-US" w:eastAsia="zh-CN"/>
                              </w:rPr>
                            </w:pPr>
                            <w:r>
                              <w:rPr>
                                <w:rFonts w:hint="eastAsia" w:ascii="楷体_GB2312" w:hAnsi="楷体_GB2312" w:eastAsia="楷体_GB2312" w:cs="楷体_GB2312"/>
                                <w:sz w:val="24"/>
                                <w:szCs w:val="32"/>
                                <w:lang w:val="en-US" w:eastAsia="zh-CN"/>
                              </w:rPr>
                              <w:t>图4：2020年收入构成（按经济分类）情况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40pt;margin-top:2.3pt;height:32.45pt;width:253.65pt;z-index:251672576;v-text-anchor:middle;mso-width-relative:page;mso-height-relative:page;" fillcolor="#FFFFFF [3201]" filled="t" stroked="f" coordsize="21600,21600" o:gfxdata="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WYQT/XAAAACgEAAA8AAAAAAAAAAQAgAAAAIgAAAGRycy9kb3ducmV2&#10;LnhtbFBLAQIUABQAAAAIAIdO4kB8+yvMNgIAAEUEAAAOAAAAAAAAAAEAIAAAACYBAABkcnMvZTJv&#10;RG9jLnhtbFBLBQYAAAAABgAGAFkBAADOBQAAAAA=&#10;">
                <v:fill on="t" focussize="0,0"/>
                <v:stroke on="f" weight="0.5pt"/>
                <v:imagedata o:title=""/>
                <o:lock v:ext="edit" aspectratio="f"/>
                <v:textbox>
                  <w:txbxContent>
                    <w:p>
                      <w:pPr>
                        <w:jc w:val="center"/>
                        <w:rPr>
                          <w:rFonts w:hint="eastAsia" w:ascii="楷体_GB2312" w:hAnsi="楷体_GB2312" w:eastAsia="楷体_GB2312" w:cs="楷体_GB2312"/>
                          <w:sz w:val="24"/>
                          <w:szCs w:val="32"/>
                          <w:lang w:val="en-US" w:eastAsia="zh-CN"/>
                        </w:rPr>
                      </w:pPr>
                      <w:r>
                        <w:rPr>
                          <w:rFonts w:hint="eastAsia" w:ascii="楷体_GB2312" w:hAnsi="楷体_GB2312" w:eastAsia="楷体_GB2312" w:cs="楷体_GB2312"/>
                          <w:sz w:val="24"/>
                          <w:szCs w:val="32"/>
                          <w:lang w:val="en-US" w:eastAsia="zh-CN"/>
                        </w:rPr>
                        <w:t>图4：2020年收入构成（按经济分类）情况</w:t>
                      </w:r>
                    </w:p>
                  </w:txbxContent>
                </v:textbox>
              </v:shape>
            </w:pict>
          </mc:Fallback>
        </mc:AlternateConten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168.83</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156.27</w:t>
      </w:r>
      <w:r>
        <w:rPr>
          <w:rFonts w:hint="eastAsia" w:ascii="仿宋_GB2312" w:hAnsi="Times New Roman" w:eastAsia="仿宋_GB2312" w:cs="Wingdings"/>
          <w:sz w:val="32"/>
          <w:szCs w:val="32"/>
        </w:rPr>
        <w:t>万元，主要包括基本工资、津贴补贴、奖金、绩效工资、机关事业单位基本养老保险缴费、职工基本医疗保险缴费、公务员医疗补助缴费、住房公积金、医疗费、其他社会保障缴费、其他工资福利支出、退休费、生活补助、医疗费补助；公用经费</w:t>
      </w:r>
      <w:r>
        <w:rPr>
          <w:rFonts w:hint="eastAsia" w:ascii="仿宋_GB2312" w:hAnsi="Times New Roman" w:eastAsia="仿宋_GB2312" w:cs="Wingdings"/>
          <w:sz w:val="32"/>
          <w:szCs w:val="32"/>
          <w:lang w:val="en-US" w:eastAsia="zh-CN"/>
        </w:rPr>
        <w:t>12.56</w:t>
      </w:r>
      <w:r>
        <w:rPr>
          <w:rFonts w:hint="eastAsia" w:ascii="仿宋_GB2312" w:hAnsi="Times New Roman" w:eastAsia="仿宋_GB2312" w:cs="Wingdings"/>
          <w:sz w:val="32"/>
          <w:szCs w:val="32"/>
        </w:rPr>
        <w:t>万元，主要包括办公费、印刷费、邮电费、物业管理费、差旅费、培训费、工会经费、福利费、公务用车运行维护费、其他交通费用。</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1.5万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75</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25</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0.48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24.24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年未发生因公出国（境）费用</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，没有</w:t>
      </w:r>
      <w:r>
        <w:rPr>
          <w:rFonts w:hint="eastAsia" w:ascii="仿宋_GB2312" w:hAnsi="Times New Roman" w:eastAsia="仿宋_GB2312" w:cs="Wingdings"/>
          <w:sz w:val="32"/>
          <w:szCs w:val="32"/>
        </w:rPr>
        <w:t>参加其他单位组织的因公出国（境）团组</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w:t>
      </w:r>
      <w:bookmarkStart w:id="0" w:name="_GoBack"/>
      <w:bookmarkEnd w:id="0"/>
      <w:r>
        <w:rPr>
          <w:rFonts w:hint="eastAsia" w:ascii="仿宋_GB2312" w:hAnsi="Times New Roman" w:eastAsia="仿宋_GB2312" w:cs="Wingdings"/>
          <w:sz w:val="32"/>
          <w:szCs w:val="32"/>
        </w:rPr>
        <w:t>本单位组织的出国（境）团组。因公出国（境）费支出较预算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75</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25</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0.48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24.24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w:t>
      </w:r>
      <w:r>
        <w:rPr>
          <w:rFonts w:hint="eastAsia" w:ascii="仿宋_GB2312" w:hAnsi="Times New Roman" w:eastAsia="仿宋_GB2312" w:cs="Wingdings"/>
          <w:sz w:val="32"/>
          <w:szCs w:val="32"/>
          <w:lang w:eastAsia="zh-CN"/>
        </w:rPr>
        <w:t>未发生“公务用车购置”经费支出，</w:t>
      </w:r>
      <w:r>
        <w:rPr>
          <w:rFonts w:hint="eastAsia" w:ascii="仿宋_GB2312" w:hAnsi="Times New Roman" w:eastAsia="仿宋_GB2312" w:cs="Wingdings"/>
          <w:sz w:val="32"/>
          <w:szCs w:val="32"/>
        </w:rPr>
        <w:t>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w:t>
      </w:r>
      <w:r>
        <w:rPr>
          <w:rFonts w:hint="eastAsia" w:ascii="仿宋_GB2312" w:hAnsi="Times New Roman" w:eastAsia="仿宋_GB2312" w:cs="DengXian-Regular"/>
          <w:sz w:val="32"/>
          <w:szCs w:val="32"/>
          <w:lang w:eastAsia="zh-CN"/>
        </w:rPr>
        <w:t>发生</w:t>
      </w:r>
      <w:r>
        <w:rPr>
          <w:rFonts w:hint="eastAsia" w:ascii="仿宋_GB2312" w:hAnsi="Times New Roman" w:eastAsia="仿宋_GB2312" w:cs="DengXian-Regular"/>
          <w:sz w:val="32"/>
          <w:szCs w:val="32"/>
        </w:rPr>
        <w:t>公务用车购置经费0万元</w:t>
      </w:r>
      <w:r>
        <w:rPr>
          <w:rFonts w:hint="eastAsia" w:ascii="仿宋_GB2312" w:hAnsi="Times New Roman" w:eastAsia="仿宋_GB2312" w:cs="DengXian-Regular"/>
          <w:sz w:val="32"/>
          <w:szCs w:val="32"/>
          <w:lang w:eastAsia="zh-CN"/>
        </w:rPr>
        <w:t>，占</w:t>
      </w:r>
      <w:r>
        <w:rPr>
          <w:rFonts w:hint="eastAsia" w:ascii="仿宋_GB2312" w:hAnsi="Times New Roman" w:eastAsia="仿宋_GB2312" w:cs="DengXian-Regular"/>
          <w:sz w:val="32"/>
          <w:szCs w:val="32"/>
        </w:rPr>
        <w:t>公务用车购置及运行维护费支出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公务用车购置费支出较预算</w:t>
      </w:r>
      <w:r>
        <w:rPr>
          <w:rFonts w:hint="eastAsia" w:ascii="仿宋_GB2312" w:hAnsi="Times New Roman" w:eastAsia="仿宋_GB2312" w:cs="Wingdings"/>
          <w:sz w:val="32"/>
          <w:szCs w:val="32"/>
          <w:lang w:eastAsia="zh-CN"/>
        </w:rPr>
        <w:t>无增减，</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,发生运行维护费支出1.5万元，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25</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0.48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24.24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疫情原因公务用车使用减少</w:t>
      </w:r>
      <w:r>
        <w:rPr>
          <w:rFonts w:hint="eastAsia" w:ascii="仿宋_GB2312" w:hAnsi="Times New Roman" w:eastAsia="仿宋_GB2312" w:cs="Wingdings"/>
          <w:sz w:val="32"/>
          <w:szCs w:val="32"/>
        </w:rPr>
        <w:t>。</w:t>
      </w:r>
    </w:p>
    <w:p>
      <w:pPr>
        <w:autoSpaceDE w:val="0"/>
        <w:autoSpaceDN w:val="0"/>
        <w:ind w:firstLine="803" w:firstLineChars="250"/>
        <w:rPr>
          <w:rFonts w:ascii="仿宋" w:hAnsi="仿宋" w:eastAsia="仿宋"/>
          <w:color w:val="000000"/>
          <w:sz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本部门2020年公务</w:t>
      </w:r>
      <w:r>
        <w:rPr>
          <w:rFonts w:hint="eastAsia" w:ascii="仿宋_GB2312" w:hAnsi="仿宋_GB2312" w:eastAsia="仿宋_GB2312" w:cs="仿宋_GB2312"/>
          <w:b w:val="0"/>
          <w:bCs w:val="0"/>
          <w:sz w:val="32"/>
          <w:szCs w:val="32"/>
          <w:lang w:eastAsia="zh-CN"/>
        </w:rPr>
        <w:t>接待费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 w:hAnsi="仿宋" w:eastAsia="仿宋"/>
          <w:color w:val="000000"/>
          <w:sz w:val="32"/>
        </w:rPr>
        <w:t>与预算相同，与</w:t>
      </w:r>
      <w:r>
        <w:rPr>
          <w:rFonts w:ascii="仿宋" w:hAnsi="仿宋" w:eastAsia="仿宋"/>
          <w:color w:val="000000"/>
          <w:sz w:val="32"/>
        </w:rPr>
        <w:t>201</w:t>
      </w:r>
      <w:r>
        <w:rPr>
          <w:rFonts w:hint="eastAsia" w:ascii="仿宋" w:hAnsi="仿宋" w:eastAsia="仿宋"/>
          <w:color w:val="000000"/>
          <w:sz w:val="32"/>
          <w:lang w:val="en-US" w:eastAsia="zh-CN"/>
        </w:rPr>
        <w:t>9</w:t>
      </w:r>
      <w:r>
        <w:rPr>
          <w:rFonts w:hint="eastAsia" w:ascii="仿宋" w:hAnsi="仿宋" w:eastAsia="仿宋"/>
          <w:color w:val="000000"/>
          <w:sz w:val="32"/>
        </w:rPr>
        <w:t>年决算相比无增减变化。</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Wingdings"/>
          <w:sz w:val="32"/>
          <w:szCs w:val="32"/>
        </w:rPr>
        <w:t>根据河北省委省政府《关于全面实施预算绩效管理的实施意见》（冀发）〔2018〕54号）、《河北省财政厅关于贯彻落实中央和省委省政府决策部署全面实施预算绩效管理的通知》（冀财预〔2019〕7号）、《河北省省级部门预算项目绩效自评管理办法》（冀财绩〔2019〕10号）、《项目支出绩效评价管理办法》（财预〔2020〕10 号）等</w:t>
      </w:r>
      <w:r>
        <w:rPr>
          <w:rFonts w:hint="eastAsia" w:ascii="仿宋_GB2312" w:hAnsi="Times New Roman" w:eastAsia="仿宋_GB2312" w:cs="Wingdings"/>
          <w:sz w:val="32"/>
          <w:szCs w:val="32"/>
          <w:lang w:val="en-US" w:eastAsia="zh-CN"/>
        </w:rPr>
        <w:t>文件要求</w:t>
      </w:r>
      <w:r>
        <w:rPr>
          <w:rFonts w:hint="eastAsia" w:ascii="仿宋_GB2312" w:hAnsi="Times New Roman" w:eastAsia="仿宋_GB2312" w:cs="Wingdings"/>
          <w:sz w:val="32"/>
          <w:szCs w:val="32"/>
          <w:lang w:eastAsia="zh-CN"/>
        </w:rPr>
        <w:t>，</w:t>
      </w:r>
      <w:r>
        <w:rPr>
          <w:rFonts w:hint="eastAsia" w:ascii="仿宋_GB2312" w:hAnsi="仿宋_GB2312" w:eastAsia="仿宋_GB2312" w:cs="仿宋_GB2312"/>
          <w:sz w:val="32"/>
          <w:szCs w:val="32"/>
        </w:rPr>
        <w:t>本部门组织对2020年度“机构编制实名制”“中文域名注册”“机关、群团赋码和事业单位监管”等3个项目支出全面开展绩效自评，其中，一般公共预算一级项目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23.46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；无政府性基金预算支出。</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pageBreakBefore w:val="0"/>
        <w:widowControl w:val="0"/>
        <w:kinsoku/>
        <w:wordWrap/>
        <w:overflowPunct/>
        <w:topLinePunct w:val="0"/>
        <w:bidi w:val="0"/>
        <w:adjustRightInd/>
        <w:snapToGrid w:val="0"/>
        <w:spacing w:before="0" w:after="0" w:line="62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仿宋_GB2312" w:eastAsia="仿宋_GB2312" w:cs="仿宋_GB2312"/>
          <w:sz w:val="32"/>
          <w:szCs w:val="32"/>
        </w:rPr>
        <w:t>本部门在今年部门决算公开中反映“机构编制实名制”“中文域名注册”“机关、群团赋码和事业单位监管”等3个项目绩效自评结果。</w:t>
      </w:r>
      <w:r>
        <w:rPr>
          <w:rFonts w:hint="eastAsia" w:ascii="仿宋_GB2312" w:hAnsi="宋体" w:eastAsia="仿宋_GB2312"/>
          <w:sz w:val="32"/>
          <w:szCs w:val="32"/>
        </w:rPr>
        <w:t>其中</w:t>
      </w:r>
      <w:r>
        <w:rPr>
          <w:rFonts w:hint="eastAsia" w:ascii="仿宋_GB2312" w:hAnsi="仿宋" w:eastAsia="仿宋_GB2312"/>
          <w:sz w:val="32"/>
          <w:szCs w:val="32"/>
        </w:rPr>
        <w:t>评价等级为“优”项目</w:t>
      </w:r>
      <w:r>
        <w:rPr>
          <w:rFonts w:hint="eastAsia" w:ascii="仿宋_GB2312" w:hAnsi="仿宋" w:eastAsia="仿宋_GB2312"/>
          <w:sz w:val="32"/>
          <w:szCs w:val="32"/>
          <w:lang w:val="en-US" w:eastAsia="zh-CN"/>
        </w:rPr>
        <w:t>3</w:t>
      </w:r>
      <w:r>
        <w:rPr>
          <w:rFonts w:hint="eastAsia" w:ascii="仿宋_GB2312" w:hAnsi="仿宋" w:eastAsia="仿宋_GB2312"/>
          <w:sz w:val="32"/>
          <w:szCs w:val="32"/>
        </w:rPr>
        <w:t>个，评优率为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宋体" w:eastAsia="仿宋_GB2312"/>
          <w:sz w:val="32"/>
          <w:szCs w:val="32"/>
        </w:rPr>
        <w:t>详见</w:t>
      </w:r>
      <w:r>
        <w:rPr>
          <w:rFonts w:hint="eastAsia" w:ascii="仿宋_GB2312" w:hAnsi="宋体" w:eastAsia="仿宋_GB2312"/>
          <w:sz w:val="32"/>
          <w:szCs w:val="32"/>
          <w:lang w:val="en-US" w:eastAsia="zh-CN"/>
        </w:rPr>
        <w:t>下</w:t>
      </w:r>
      <w:r>
        <w:rPr>
          <w:rFonts w:hint="eastAsia" w:ascii="仿宋_GB2312" w:hAnsi="宋体" w:eastAsia="仿宋_GB2312"/>
          <w:sz w:val="32"/>
          <w:szCs w:val="32"/>
        </w:rPr>
        <w:t>表。</w:t>
      </w:r>
    </w:p>
    <w:p>
      <w:pPr>
        <w:wordWrap/>
        <w:adjustRightInd/>
        <w:snapToGrid w:val="0"/>
        <w:spacing w:before="0" w:after="0" w:line="360" w:lineRule="auto"/>
        <w:ind w:left="-105" w:leftChars="-50" w:right="-105" w:rightChars="-50"/>
        <w:jc w:val="center"/>
        <w:textAlignment w:val="auto"/>
        <w:outlineLvl w:val="9"/>
        <w:rPr>
          <w:rFonts w:ascii="仿宋_GB2312" w:hAnsi="宋体" w:eastAsia="仿宋_GB2312"/>
          <w:b/>
          <w:sz w:val="32"/>
          <w:szCs w:val="32"/>
        </w:rPr>
      </w:pPr>
      <w:r>
        <w:rPr>
          <w:rFonts w:hint="eastAsia" w:ascii="仿宋_GB2312" w:hAnsi="宋体" w:eastAsia="仿宋_GB2312"/>
          <w:b/>
          <w:sz w:val="32"/>
          <w:szCs w:val="32"/>
          <w:lang w:val="en-US" w:eastAsia="zh-CN"/>
        </w:rPr>
        <w:t>中共任丘市委机构编制委员会办公室部门</w:t>
      </w:r>
      <w:r>
        <w:rPr>
          <w:rFonts w:hint="eastAsia" w:ascii="仿宋_GB2312" w:hAnsi="宋体" w:eastAsia="仿宋_GB2312"/>
          <w:b/>
          <w:sz w:val="32"/>
          <w:szCs w:val="32"/>
        </w:rPr>
        <w:t>绩效自评结果统计表</w:t>
      </w:r>
    </w:p>
    <w:tbl>
      <w:tblPr>
        <w:tblStyle w:val="5"/>
        <w:tblW w:w="82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
        <w:gridCol w:w="5515"/>
        <w:gridCol w:w="100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5515"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项目名称</w:t>
            </w:r>
          </w:p>
        </w:tc>
        <w:tc>
          <w:tcPr>
            <w:tcW w:w="100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自评得分</w:t>
            </w:r>
          </w:p>
        </w:tc>
        <w:tc>
          <w:tcPr>
            <w:tcW w:w="960" w:type="dxa"/>
            <w:tcBorders>
              <w:top w:val="single" w:color="auto" w:sz="4" w:space="0"/>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机构编制实名制</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100.00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中文域名注册</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lang w:val="en-US" w:eastAsia="zh-CN"/>
              </w:rPr>
              <w:t>100.00</w:t>
            </w:r>
            <w:r>
              <w:rPr>
                <w:rFonts w:hint="default" w:ascii="Times New Roman" w:hAnsi="Times New Roman" w:eastAsia="仿宋_GB2312" w:cs="Times New Roman"/>
                <w:kern w:val="0"/>
                <w:sz w:val="22"/>
                <w:szCs w:val="22"/>
              </w:rPr>
              <w:t xml:space="preserve">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763" w:type="dxa"/>
            <w:tcBorders>
              <w:top w:val="nil"/>
              <w:left w:val="single" w:color="auto" w:sz="4" w:space="0"/>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5515"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机关、群团赋码和事业单位监管</w:t>
            </w:r>
          </w:p>
        </w:tc>
        <w:tc>
          <w:tcPr>
            <w:tcW w:w="100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right"/>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100.00 </w:t>
            </w:r>
          </w:p>
        </w:tc>
        <w:tc>
          <w:tcPr>
            <w:tcW w:w="960" w:type="dxa"/>
            <w:tcBorders>
              <w:top w:val="nil"/>
              <w:left w:val="nil"/>
              <w:bottom w:val="single" w:color="auto" w:sz="4" w:space="0"/>
              <w:right w:val="single" w:color="auto" w:sz="4" w:space="0"/>
            </w:tcBorders>
            <w:vAlign w:val="center"/>
          </w:tcPr>
          <w:p>
            <w:pPr>
              <w:widowControl/>
              <w:wordWrap/>
              <w:adjustRightInd/>
              <w:spacing w:before="0" w:after="0" w:line="360" w:lineRule="auto"/>
              <w:ind w:left="-105" w:leftChars="-50" w:right="-105" w:rightChars="-5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 xml:space="preserve"> 优 </w:t>
            </w:r>
          </w:p>
        </w:tc>
      </w:tr>
    </w:tbl>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本部门在今年部门决算公开中反映“机构编制实名制”“中文域名注册”“机关、群团赋码和事业单位监管”等3个项目绩效自评结果。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机构编制实名制项目自评综述：根据年初设定的绩效目标，机构编制实名制项目绩效自评得分为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。全年预算数为4万元，执行数为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%。项目绩效目标完成情况：一是按照规定完成了全市机构编制信息管理系统管理工作，对全市机构编制进行了统计、数据分析；二是按照规定完成了机构编制月报、年报工作。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中文域名注册项目绩效自评综述：根据年初设定的绩效目标，中文域名注册项目绩效自评得分为优。全年预算数为14.46万元，执行数为14.46万元，完成预算的100%。项目绩效目标完成情况：高质量地完成了20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年度全市中文域名注册工作。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机关、群团赋码和事业单位监管项目绩效自评综述：根据年初设定的绩效目标，机关、群团赋码和事业单位监管项目项目绩效自评得分为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。全年预算数为5万元，执行数为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%。项目绩效目标完成情况：一是按照规定程序完成了全市机关、群团统一社会信用代码赋码工作；二是完成了事业单位法人证书年检工作。</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12.56</w:t>
      </w:r>
      <w:r>
        <w:rPr>
          <w:rFonts w:hint="eastAsia" w:ascii="仿宋_GB2312" w:hAnsi="仿宋_GB2312" w:eastAsia="仿宋_GB2312" w:cs="仿宋_GB2312"/>
          <w:sz w:val="32"/>
          <w:szCs w:val="32"/>
        </w:rPr>
        <w:t>万元，比20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年度增加</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11.64</w:t>
      </w:r>
      <w:r>
        <w:rPr>
          <w:rFonts w:hint="eastAsia" w:ascii="仿宋_GB2312" w:hAnsi="仿宋_GB2312" w:eastAsia="仿宋_GB2312" w:cs="仿宋_GB2312"/>
          <w:sz w:val="32"/>
          <w:szCs w:val="32"/>
        </w:rPr>
        <w:t>%。主要原因是</w:t>
      </w:r>
      <w:r>
        <w:rPr>
          <w:rFonts w:hint="eastAsia" w:ascii="仿宋_GB2312" w:hAnsi="Times New Roman" w:eastAsia="仿宋_GB2312" w:cs="DengXian-Regular"/>
          <w:sz w:val="32"/>
          <w:szCs w:val="32"/>
        </w:rPr>
        <w:t>人员增加、工作任务增加。</w:t>
      </w:r>
    </w:p>
    <w:p>
      <w:pPr>
        <w:keepNext/>
        <w:keepLines/>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八、政府采购情况</w:t>
      </w:r>
    </w:p>
    <w:p>
      <w:pPr>
        <w:pageBreakBefore w:val="0"/>
        <w:widowControl w:val="0"/>
        <w:kinsoku/>
        <w:wordWrap/>
        <w:overflowPunct/>
        <w:topLinePunct w:val="0"/>
        <w:autoSpaceDE/>
        <w:autoSpaceDN/>
        <w:bidi w:val="0"/>
        <w:snapToGrid w:val="0"/>
        <w:spacing w:line="560" w:lineRule="exact"/>
        <w:ind w:firstLine="640" w:firstLineChars="200"/>
        <w:jc w:val="left"/>
        <w:textAlignment w:val="auto"/>
        <w:rPr>
          <w:rFonts w:ascii="仿宋_GB2312" w:hAnsi="Times New Roman" w:eastAsia="仿宋_GB2312" w:cs="DengXian-Regular"/>
          <w:sz w:val="32"/>
          <w:szCs w:val="32"/>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DengXian-Regular"/>
          <w:sz w:val="32"/>
          <w:szCs w:val="32"/>
        </w:rPr>
        <w:t>，从采购类型来看，政府采购货物支出0万元、政府采购工程支出0万元、政府采购服务支出0万元。授予中小企业合同金0万元，占政府采购支出总额的0%，其中授予小微企业合同金额0万元，占政府采购支出总额的0%</w:t>
      </w:r>
      <w:r>
        <w:rPr>
          <w:rFonts w:ascii="仿宋_GB2312" w:hAnsi="仿宋_GB2312" w:eastAsia="仿宋_GB2312" w:cs="仿宋_GB2312"/>
          <w:color w:val="000000"/>
          <w:kern w:val="0"/>
          <w:sz w:val="32"/>
          <w:szCs w:val="32"/>
          <w:lang w:bidi="ar"/>
        </w:rPr>
        <w:t>。</w:t>
      </w:r>
      <w:r>
        <w:rPr>
          <w:rFonts w:hint="eastAsia" w:ascii="仿宋" w:hAnsi="仿宋" w:eastAsia="仿宋" w:cs="TEOKIF+ºÚÌå"/>
          <w:color w:val="000000"/>
          <w:sz w:val="32"/>
        </w:rPr>
        <w:t>我单位无此项收支业务以空表列示。</w:t>
      </w:r>
    </w:p>
    <w:p>
      <w:pPr>
        <w:keepNext/>
        <w:keepLines/>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黑体" w:hAnsi="黑体" w:eastAsia="黑体" w:cs="黑体"/>
          <w:sz w:val="32"/>
          <w:szCs w:val="32"/>
        </w:rPr>
      </w:pPr>
      <w:r>
        <w:rPr>
          <w:rFonts w:hint="eastAsia" w:ascii="黑体" w:hAnsi="黑体" w:eastAsia="黑体" w:cs="黑体"/>
          <w:sz w:val="32"/>
          <w:szCs w:val="32"/>
        </w:rPr>
        <w:t>九、国有资产占用情况</w:t>
      </w:r>
    </w:p>
    <w:p>
      <w:pPr>
        <w:keepNext/>
        <w:keepLines/>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楷体_GB2312" w:hAnsi="Times New Roman" w:eastAsia="楷体_GB2312" w:cs="DengXian-Bold"/>
          <w:b/>
          <w:bCs/>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w:t>
      </w:r>
      <w:r>
        <w:rPr>
          <w:rFonts w:ascii="仿宋_GB2312" w:hAnsi="Times New Roman" w:eastAsia="仿宋_GB2312" w:cs="DengXian-Regular"/>
          <w:sz w:val="32"/>
          <w:szCs w:val="32"/>
        </w:rPr>
        <w:t>其中，副部（省）级及以上领导用车0辆，主要领导干部用车0辆，机要通信用车0辆，应急保障用车</w:t>
      </w:r>
      <w:r>
        <w:rPr>
          <w:rFonts w:hint="eastAsia" w:ascii="仿宋_GB2312" w:hAnsi="Times New Roman" w:eastAsia="仿宋_GB2312" w:cs="DengXian-Regular"/>
          <w:sz w:val="32"/>
          <w:szCs w:val="32"/>
        </w:rPr>
        <w:t>1</w:t>
      </w:r>
      <w:r>
        <w:rPr>
          <w:rFonts w:ascii="仿宋_GB2312" w:hAnsi="Times New Roman" w:eastAsia="仿宋_GB2312" w:cs="DengXian-Regular"/>
          <w:sz w:val="32"/>
          <w:szCs w:val="32"/>
        </w:rPr>
        <w:t>辆，执法执勤用车0辆，特种专业技术用车0辆，离退休干部用车0辆，其他用车0辆</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仿宋_GB2312" w:hAnsi="Times New Roman" w:eastAsia="仿宋_GB2312" w:cs="DengXian-Regular"/>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ascii="仿宋_GB2312" w:hAnsi="Times New Roman" w:eastAsia="仿宋_GB2312" w:cs="DengXian-Regular"/>
          <w:sz w:val="32"/>
          <w:szCs w:val="32"/>
        </w:rPr>
        <w:t>比上年增加0套，主要是无，单位价值100万元以上专用设备0台（套）比上年增加0套，主要是无采购设备。</w:t>
      </w:r>
    </w:p>
    <w:p>
      <w:pPr>
        <w:keepNext/>
        <w:keepLines/>
        <w:pageBreakBefore w:val="0"/>
        <w:widowControl w:val="0"/>
        <w:kinsoku/>
        <w:wordWrap/>
        <w:overflowPunct/>
        <w:topLinePunct w:val="0"/>
        <w:autoSpaceDE/>
        <w:autoSpaceDN/>
        <w:bidi w:val="0"/>
        <w:snapToGrid w:val="0"/>
        <w:spacing w:line="560" w:lineRule="exact"/>
        <w:ind w:firstLine="640" w:firstLineChars="200"/>
        <w:textAlignment w:val="auto"/>
        <w:outlineLvl w:val="2"/>
        <w:rPr>
          <w:rFonts w:ascii="黑体" w:hAnsi="黑体" w:eastAsia="黑体" w:cs="黑体"/>
          <w:sz w:val="32"/>
          <w:szCs w:val="32"/>
        </w:rPr>
      </w:pPr>
      <w:r>
        <w:rPr>
          <w:rFonts w:hint="eastAsia" w:ascii="黑体" w:hAnsi="黑体" w:eastAsia="黑体" w:cs="黑体"/>
          <w:sz w:val="32"/>
          <w:szCs w:val="32"/>
        </w:rPr>
        <w:t>十、其他需要说明的情况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本部门2020年度未发生政府性基金预算、国有资金经营预算收支及结转结余情况，故政府性基金预算财政拨款收入支出决算表、国有资本经营预算财政拨款支出决算表等表以空表列示。</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1312;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NPtkAAAAMAQAADwAAAAAAAAABACAAAAAiAAAAZHJzL2Rvd25yZXYu&#10;eG1sUEsBAhQAFAAAAAgAh07iQPgymRhsAgAA/gQAAA4AAAAAAAAAAQAgAAAAKAEAAGRycy9lMm9E&#10;b2MueG1sUEsFBgAAAAAGAAYAWQEAAAYGAAAAAA==&#10;">
                <v:fill type="pattern" on="t" color2="#FFFFFF [3212]"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NhBuPcAAAA&#10;DQEAAA8AAAAAAAAAAQAgAAAAIgAAAGRycy9kb3ducmV2LnhtbFBLAQIUABQAAAAIAIdO4kDLXY5P&#10;iwIAAFsFAAAOAAAAAAAAAAEAIAAAACsBAABkcnMvZTJvRG9jLnhtbFBLBQYAAAAABgAGAFkBAAAo&#10;BgAAAAA=&#10;">
                <v:fill type="pattern" on="t" color2="#FFFFFF"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192.29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160.20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13.56</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8.48</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10.05</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192.29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192.29</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用事业基金弥补收支差额</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192.29</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192.29</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580" w:type="dxa"/>
        <w:jc w:val="center"/>
        <w:tblLayout w:type="autofit"/>
        <w:tblCellMar>
          <w:top w:w="0" w:type="dxa"/>
          <w:left w:w="0" w:type="dxa"/>
          <w:bottom w:w="0" w:type="dxa"/>
          <w:right w:w="0" w:type="dxa"/>
        </w:tblCellMar>
      </w:tblPr>
      <w:tblGrid>
        <w:gridCol w:w="630"/>
        <w:gridCol w:w="36"/>
        <w:gridCol w:w="36"/>
        <w:gridCol w:w="2910"/>
        <w:gridCol w:w="999"/>
        <w:gridCol w:w="999"/>
        <w:gridCol w:w="794"/>
        <w:gridCol w:w="794"/>
        <w:gridCol w:w="794"/>
        <w:gridCol w:w="794"/>
        <w:gridCol w:w="796"/>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192.29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192.29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136.74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136.74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472"/>
        <w:gridCol w:w="1163"/>
        <w:gridCol w:w="1046"/>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57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04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47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7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7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5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5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192.29</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168.83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23.46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2011001</w:t>
            </w: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行政运行</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136.74</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2011002</w:t>
            </w: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一般行政管理事务</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23.46</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23.46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2080505</w:t>
            </w: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机关事业单位基本养老保险缴费支出</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13.56</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2101101</w:t>
            </w: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行政单位医疗</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8.48</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8.48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2210201</w:t>
            </w: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住房公积金</w:t>
            </w: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10.05</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4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710"/>
              <w:gridCol w:w="700"/>
              <w:gridCol w:w="789"/>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42"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642"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1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89"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1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0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9"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192.29</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160.20</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160.20</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13.56</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13.56</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8.48</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8.48</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10.05</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10.05</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192.29</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192.29</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192.29</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1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192.29</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192.29</w:t>
                  </w:r>
                  <w:r>
                    <w:rPr>
                      <w:rFonts w:hint="eastAsia" w:ascii="宋体" w:hAnsi="宋体" w:eastAsia="宋体" w:cs="宋体"/>
                      <w:color w:val="000000"/>
                      <w:kern w:val="0"/>
                      <w:sz w:val="15"/>
                      <w:szCs w:val="15"/>
                      <w:lang w:bidi="ar"/>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kern w:val="0"/>
                      <w:sz w:val="15"/>
                      <w:szCs w:val="15"/>
                      <w:lang w:val="en-US" w:eastAsia="zh-CN" w:bidi="ar"/>
                    </w:rPr>
                    <w:t>192.29</w:t>
                  </w:r>
                  <w:r>
                    <w:rPr>
                      <w:rFonts w:hint="eastAsia" w:ascii="宋体" w:hAnsi="宋体" w:eastAsia="宋体" w:cs="宋体"/>
                      <w:color w:val="000000"/>
                      <w:kern w:val="0"/>
                      <w:sz w:val="15"/>
                      <w:szCs w:val="15"/>
                      <w:lang w:bidi="ar"/>
                    </w:rPr>
                    <w:t>　</w:t>
                  </w:r>
                </w:p>
              </w:tc>
              <w:tc>
                <w:tcPr>
                  <w:tcW w:w="7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192.29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kern w:val="2"/>
                <w:sz w:val="18"/>
                <w:szCs w:val="18"/>
                <w:lang w:val="en-US" w:eastAsia="zh-CN" w:bidi="ar-SA"/>
              </w:rPr>
            </w:pPr>
            <w:r>
              <w:rPr>
                <w:rFonts w:hint="eastAsia" w:ascii="宋体" w:hAnsi="宋体" w:eastAsia="宋体" w:cs="宋体"/>
                <w:b/>
                <w:color w:val="000000"/>
                <w:sz w:val="18"/>
                <w:szCs w:val="18"/>
                <w:lang w:val="en-US" w:eastAsia="zh-CN"/>
              </w:rPr>
              <w:t>168.83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23.46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2011001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136.74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2011002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23.46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23.46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13.56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8.48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8.48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155.19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12.56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49.51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12"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13.68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10.05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0.97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156.27</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12.56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1.5</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1.5</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注：本部门本年度</w:t>
      </w:r>
      <w:r>
        <w:rPr>
          <w:rFonts w:hint="eastAsia" w:ascii="宋体" w:hAnsi="宋体" w:eastAsia="宋体" w:cs="宋体"/>
          <w:sz w:val="20"/>
          <w:szCs w:val="22"/>
          <w:lang w:eastAsia="zh-CN"/>
        </w:rPr>
        <w:t>无</w:t>
      </w:r>
      <w:r>
        <w:rPr>
          <w:rFonts w:hint="eastAsia" w:ascii="宋体" w:hAnsi="宋体" w:eastAsia="宋体" w:cs="宋体"/>
          <w:sz w:val="20"/>
          <w:szCs w:val="22"/>
        </w:rPr>
        <w:t>政府性基金预算财政拨款收入、支出及结转结余，</w:t>
      </w:r>
      <w:r>
        <w:rPr>
          <w:rFonts w:hint="eastAsia" w:ascii="宋体" w:hAnsi="宋体" w:eastAsia="宋体" w:cs="宋体"/>
          <w:sz w:val="20"/>
          <w:szCs w:val="22"/>
          <w:lang w:eastAsia="zh-CN"/>
        </w:rPr>
        <w:t>故以</w:t>
      </w:r>
      <w:r>
        <w:rPr>
          <w:rFonts w:hint="eastAsia" w:ascii="宋体" w:hAnsi="宋体" w:eastAsia="宋体" w:cs="宋体"/>
          <w:sz w:val="20"/>
          <w:szCs w:val="22"/>
        </w:rPr>
        <w:t>空表列示</w:t>
      </w:r>
      <w:r>
        <w:rPr>
          <w:rFonts w:hint="eastAsia" w:ascii="宋体" w:hAnsi="宋体" w:eastAsia="宋体" w:cs="宋体"/>
          <w:sz w:val="20"/>
          <w:szCs w:val="22"/>
        </w:rPr>
        <w:tab/>
      </w:r>
      <w:r>
        <w:rPr>
          <w:rFonts w:hint="eastAsia" w:ascii="宋体" w:hAnsi="宋体" w:eastAsia="宋体" w:cs="宋体"/>
          <w:sz w:val="20"/>
          <w:szCs w:val="22"/>
        </w:rPr>
        <w:tab/>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highlight w:val="yellow"/>
        </w:rPr>
      </w:pPr>
      <w:r>
        <w:rPr>
          <w:rFonts w:hint="eastAsia" w:ascii="宋体" w:hAnsi="宋体" w:eastAsia="宋体" w:cs="宋体"/>
        </w:rPr>
        <w:t>注：本部门本年度</w:t>
      </w:r>
      <w:r>
        <w:rPr>
          <w:rFonts w:hint="eastAsia" w:ascii="宋体" w:hAnsi="宋体" w:eastAsia="宋体" w:cs="宋体"/>
          <w:lang w:eastAsia="zh-CN"/>
        </w:rPr>
        <w:t>无</w:t>
      </w:r>
      <w:r>
        <w:rPr>
          <w:rFonts w:hint="eastAsia" w:ascii="宋体" w:hAnsi="宋体" w:eastAsia="宋体" w:cs="宋体"/>
        </w:rPr>
        <w:t>国有资本经营预算财政拨款收入、支出及结转结余，</w:t>
      </w:r>
      <w:r>
        <w:rPr>
          <w:rFonts w:hint="eastAsia" w:ascii="宋体" w:hAnsi="宋体" w:eastAsia="宋体" w:cs="宋体"/>
          <w:lang w:eastAsia="zh-CN"/>
        </w:rPr>
        <w:t>故以</w:t>
      </w:r>
      <w:r>
        <w:rPr>
          <w:rFonts w:hint="eastAsia" w:ascii="宋体" w:hAnsi="宋体" w:eastAsia="宋体" w:cs="宋体"/>
        </w:rPr>
        <w:t>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5408;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TEOKIF+ºÚÌå">
    <w:altName w:val="Times New Roman"/>
    <w:panose1 w:val="00000000000000000000"/>
    <w:charset w:val="00"/>
    <w:family w:val="auto"/>
    <w:pitch w:val="default"/>
    <w:sig w:usb0="00000000" w:usb1="00000000" w:usb2="00000000" w:usb3="00000000" w:csb0="00000001" w:csb1="00000000"/>
  </w:font>
  <w:font w:name="DengXian-Bold">
    <w:altName w:val="宋体"/>
    <w:panose1 w:val="00000000000000000000"/>
    <w:charset w:val="86"/>
    <w:family w:val="auto"/>
    <w:pitch w:val="default"/>
    <w:sig w:usb0="00000000" w:usb1="00000000" w:usb2="00000010" w:usb3="00000000" w:csb0="00040001" w:csb1="0000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801F66"/>
    <w:rsid w:val="009334BF"/>
    <w:rsid w:val="058B71E0"/>
    <w:rsid w:val="0B1E4FA3"/>
    <w:rsid w:val="0EA325C9"/>
    <w:rsid w:val="1E277A80"/>
    <w:rsid w:val="2FB96948"/>
    <w:rsid w:val="34C45458"/>
    <w:rsid w:val="35C83C42"/>
    <w:rsid w:val="365254BC"/>
    <w:rsid w:val="3F7421BB"/>
    <w:rsid w:val="43502459"/>
    <w:rsid w:val="43DD06B5"/>
    <w:rsid w:val="4F563633"/>
    <w:rsid w:val="5D0C63C4"/>
    <w:rsid w:val="5DAA3061"/>
    <w:rsid w:val="67CA68CC"/>
    <w:rsid w:val="6CCC5BEF"/>
    <w:rsid w:val="73D824BD"/>
    <w:rsid w:val="7AA655EB"/>
    <w:rsid w:val="7FB1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178.01</c:v>
                </c:pt>
                <c:pt idx="1">
                  <c:v>192.29</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a:t>
            </a:r>
            <a:r>
              <a:rPr>
                <a:latin typeface="楷体" panose="02010609060101010101" charset="-122"/>
                <a:ea typeface="楷体" panose="02010609060101010101" charset="-122"/>
                <a:cs typeface="楷体" panose="02010609060101010101" charset="-122"/>
              </a:rPr>
              <a:t>图</a:t>
            </a:r>
            <a:r>
              <a:rPr lang="en-US" altLang="zh-CN">
                <a:latin typeface="楷体" panose="02010609060101010101" charset="-122"/>
                <a:ea typeface="楷体" panose="02010609060101010101" charset="-122"/>
                <a:cs typeface="楷体" panose="02010609060101010101" charset="-122"/>
              </a:rPr>
              <a:t>2</a:t>
            </a:r>
            <a:r>
              <a:rPr altLang="en-US">
                <a:latin typeface="楷体" panose="02010609060101010101" charset="-122"/>
                <a:ea typeface="楷体" panose="02010609060101010101" charset="-122"/>
                <a:cs typeface="楷体" panose="02010609060101010101" charset="-122"/>
              </a:rPr>
              <a:t>：支出决算构成情况</a:t>
            </a:r>
            <a:endParaRPr altLang="en-US">
              <a:latin typeface="楷体" panose="02010609060101010101" charset="-122"/>
              <a:ea typeface="楷体" panose="02010609060101010101" charset="-122"/>
              <a:cs typeface="楷体" panose="02010609060101010101" charset="-122"/>
            </a:endParaRPr>
          </a:p>
        </c:rich>
      </c:tx>
      <c:layout>
        <c:manualLayout>
          <c:xMode val="edge"/>
          <c:yMode val="edge"/>
          <c:x val="0.306999974314275"/>
          <c:y val="0.83268156424581"/>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168.83</c:v>
                </c:pt>
                <c:pt idx="1">
                  <c:v>23.46</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457775"/>
        <c:crosses val="autoZero"/>
        <c:auto val="1"/>
        <c:lblAlgn val="ctr"/>
        <c:lblOffset val="100"/>
        <c:noMultiLvlLbl val="0"/>
      </c:catAx>
      <c:valAx>
        <c:axId val="737457775"/>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4517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3286713286713"/>
          <c:y val="0.18810170328314"/>
          <c:w val="0.893902097902098"/>
          <c:h val="0.579955566526783"/>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168.83</c:v>
                </c:pt>
                <c:pt idx="1">
                  <c:v>23.46</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154.95</c:v>
                </c:pt>
                <c:pt idx="1">
                  <c:v>23.06</c:v>
                </c:pt>
              </c:numCache>
            </c:numRef>
          </c:val>
        </c:ser>
        <c:dLbls>
          <c:showLegendKey val="0"/>
          <c:showVal val="0"/>
          <c:showCatName val="0"/>
          <c:showSerName val="0"/>
          <c:showPercent val="0"/>
          <c:showBubbleSize val="0"/>
        </c:dLbls>
        <c:gapWidth val="219"/>
        <c:overlap val="-27"/>
        <c:axId val="916348820"/>
        <c:axId val="198135593"/>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基本支出</c:v>
                      </c:pt>
                      <c:pt idx="1">
                        <c:v>项目支出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163488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135593"/>
        <c:crosses val="autoZero"/>
        <c:auto val="1"/>
        <c:lblAlgn val="ctr"/>
        <c:lblOffset val="100"/>
        <c:noMultiLvlLbl val="0"/>
      </c:catAx>
      <c:valAx>
        <c:axId val="19813559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3488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69426751592357"/>
          <c:y val="0.186601251903231"/>
          <c:w val="0.937834394904459"/>
          <c:h val="0.726611402469971"/>
        </c:manualLayout>
      </c:layout>
      <c:pie3DChart>
        <c:varyColors val="1"/>
        <c:ser>
          <c:idx val="0"/>
          <c:order val="0"/>
          <c:tx>
            <c:strRef>
              <c:f>Sheet1!$B$1</c:f>
              <c:strCache>
                <c:ptCount val="1"/>
                <c:pt idx="0">
                  <c:v>收入支出构成情况</c:v>
                </c:pt>
              </c:strCache>
            </c:strRef>
          </c:tx>
          <c:spPr/>
          <c:explosion val="0"/>
          <c:dPt>
            <c:idx val="0"/>
            <c:bubble3D val="0"/>
            <c:explosion val="0"/>
            <c:spPr>
              <a:solidFill>
                <a:schemeClr val="accent1"/>
              </a:solidFill>
              <a:ln>
                <a:noFill/>
              </a:ln>
              <a:effectLst>
                <a:outerShdw blurRad="88900" sx="102000" sy="102000" algn="ctr" rotWithShape="0">
                  <a:prstClr val="black">
                    <a:alpha val="10000"/>
                  </a:prstClr>
                </a:outerShdw>
              </a:effectLst>
            </c:spPr>
          </c:dPt>
          <c:dPt>
            <c:idx val="1"/>
            <c:bubble3D val="0"/>
            <c:spPr>
              <a:solidFill>
                <a:schemeClr val="accent2"/>
              </a:solidFill>
              <a:ln>
                <a:noFill/>
              </a:ln>
              <a:effectLst>
                <a:outerShdw blurRad="88900" sx="102000" sy="102000" algn="ctr" rotWithShape="0">
                  <a:prstClr val="black">
                    <a:alpha val="10000"/>
                  </a:prstClr>
                </a:outerShdw>
              </a:effectLst>
            </c:spPr>
          </c:dPt>
          <c:dPt>
            <c:idx val="2"/>
            <c:bubble3D val="0"/>
            <c:spPr>
              <a:solidFill>
                <a:schemeClr val="accent3"/>
              </a:solidFill>
              <a:ln>
                <a:noFill/>
              </a:ln>
              <a:effectLst>
                <a:outerShdw blurRad="88900" sx="102000" sy="102000" algn="ctr" rotWithShape="0">
                  <a:prstClr val="black">
                    <a:alpha val="10000"/>
                  </a:prstClr>
                </a:outerShdw>
              </a:effectLst>
            </c:spPr>
          </c:dPt>
          <c:dPt>
            <c:idx val="3"/>
            <c:bubble3D val="0"/>
            <c:spPr>
              <a:solidFill>
                <a:schemeClr val="accent4"/>
              </a:solidFill>
              <a:ln>
                <a:noFill/>
              </a:ln>
              <a:effectLst>
                <a:outerShdw blurRad="88900" sx="102000" sy="102000" algn="ctr" rotWithShape="0">
                  <a:prstClr val="black">
                    <a:alpha val="10000"/>
                  </a:prstClr>
                </a:outerShdw>
              </a:effectLst>
            </c:spPr>
          </c:dPt>
          <c:dLbls>
            <c:dLbl>
              <c:idx val="0"/>
              <c:layout>
                <c:manualLayout>
                  <c:x val="0.194267515923567"/>
                  <c:y val="-0.304517002199289"/>
                </c:manualLayout>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1"/>
                        </a:solidFill>
                        <a:latin typeface="+mn-lt"/>
                        <a:ea typeface="+mn-ea"/>
                        <a:cs typeface="+mn-cs"/>
                      </a:defRPr>
                    </a:pPr>
                    <a:r>
                      <a:rPr sz="800"/>
                      <a:t>一般公共服务类160.2</a:t>
                    </a:r>
                    <a:endParaRPr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2"/>
                        </a:solidFill>
                        <a:latin typeface="+mn-lt"/>
                        <a:ea typeface="+mn-ea"/>
                        <a:cs typeface="+mn-cs"/>
                      </a:defRPr>
                    </a:pPr>
                    <a:r>
                      <a:rPr sz="800"/>
                      <a:t>社会保障和就业类</a:t>
                    </a:r>
                    <a:endParaRPr sz="800"/>
                  </a:p>
                  <a:p>
                    <a:pPr defTabSz="914400">
                      <a:defRPr lang="zh-CN" sz="800" b="1" i="0" u="none" strike="noStrike" kern="1200" spc="0" baseline="0">
                        <a:solidFill>
                          <a:schemeClr val="accent2"/>
                        </a:solidFill>
                        <a:latin typeface="+mn-lt"/>
                        <a:ea typeface="+mn-ea"/>
                        <a:cs typeface="+mn-cs"/>
                      </a:defRPr>
                    </a:pPr>
                    <a:r>
                      <a:rPr sz="800"/>
                      <a:t>13.56</a:t>
                    </a:r>
                    <a:endParaRPr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3"/>
                        </a:solidFill>
                        <a:latin typeface="+mn-lt"/>
                        <a:ea typeface="+mn-ea"/>
                        <a:cs typeface="+mn-cs"/>
                      </a:defRPr>
                    </a:pPr>
                    <a:r>
                      <a:rPr sz="800"/>
                      <a:t>卫生健康类</a:t>
                    </a:r>
                    <a:endParaRPr sz="800"/>
                  </a:p>
                  <a:p>
                    <a:pPr defTabSz="914400">
                      <a:defRPr lang="zh-CN" sz="800" b="1" i="0" u="none" strike="noStrike" kern="1200" spc="0" baseline="0">
                        <a:solidFill>
                          <a:schemeClr val="accent3"/>
                        </a:solidFill>
                        <a:latin typeface="+mn-lt"/>
                        <a:ea typeface="+mn-ea"/>
                        <a:cs typeface="+mn-cs"/>
                      </a:defRPr>
                    </a:pPr>
                    <a:r>
                      <a:rPr sz="800"/>
                      <a:t>8.48</a:t>
                    </a:r>
                    <a:endParaRPr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800" b="1" i="0" u="none" strike="noStrike" kern="1200" spc="0" baseline="0">
                        <a:solidFill>
                          <a:schemeClr val="accent4"/>
                        </a:solidFill>
                        <a:latin typeface="+mn-lt"/>
                        <a:ea typeface="+mn-ea"/>
                        <a:cs typeface="+mn-cs"/>
                      </a:defRPr>
                    </a:pPr>
                    <a:r>
                      <a:rPr sz="800"/>
                      <a:t>住房保障类 </a:t>
                    </a:r>
                    <a:endParaRPr sz="800"/>
                  </a:p>
                  <a:p>
                    <a:pPr defTabSz="914400">
                      <a:defRPr lang="zh-CN" sz="800" b="1" i="0" u="none" strike="noStrike" kern="1200" spc="0" baseline="0">
                        <a:solidFill>
                          <a:schemeClr val="accent4"/>
                        </a:solidFill>
                        <a:latin typeface="+mn-lt"/>
                        <a:ea typeface="+mn-ea"/>
                        <a:cs typeface="+mn-cs"/>
                      </a:defRPr>
                    </a:pPr>
                    <a:r>
                      <a:rPr sz="800"/>
                      <a:t>10.05</a:t>
                    </a:r>
                    <a:endParaRPr sz="800"/>
                  </a:p>
                </c:rich>
              </c:tx>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8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卫生健康类</c:v>
                </c:pt>
                <c:pt idx="3">
                  <c:v>住房保障类</c:v>
                </c:pt>
              </c:strCache>
            </c:strRef>
          </c:cat>
          <c:val>
            <c:numRef>
              <c:f>Sheet1!$B$2:$B$5</c:f>
              <c:numCache>
                <c:formatCode>General</c:formatCode>
                <c:ptCount val="4"/>
                <c:pt idx="0">
                  <c:v>160.2</c:v>
                </c:pt>
                <c:pt idx="1">
                  <c:v>13.56</c:v>
                </c:pt>
                <c:pt idx="2">
                  <c:v>8.48</c:v>
                </c:pt>
                <c:pt idx="3">
                  <c:v>10.05</c:v>
                </c:pt>
              </c:numCache>
            </c:numRef>
          </c:val>
        </c:ser>
        <c:dLbls>
          <c:showLegendKey val="0"/>
          <c:showVal val="1"/>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17</TotalTime>
  <ScaleCrop>false</ScaleCrop>
  <LinksUpToDate>false</LinksUpToDate>
  <CharactersWithSpaces>11585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2021-08-23T02:48:57Z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65FA352BAB5146309CB066C800874C19</vt:lpwstr>
  </property>
</Properties>
</file>