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rPr>
      </w:pPr>
    </w:p>
    <w:p>
      <w:pPr>
        <w:jc w:val="center"/>
        <w:textAlignment w:val="bottom"/>
        <w:rPr>
          <w:rFonts w:hint="eastAsia" w:ascii="宋体" w:hAnsi="宋体"/>
          <w:b/>
          <w:color w:val="auto"/>
          <w:sz w:val="72"/>
          <w:szCs w:val="72"/>
          <w:highlight w:val="none"/>
          <w:lang w:val="en-US" w:eastAsia="zh-CN"/>
        </w:rPr>
      </w:pPr>
    </w:p>
    <w:p>
      <w:pPr>
        <w:ind w:firstLine="2891" w:firstLineChars="400"/>
        <w:jc w:val="both"/>
        <w:textAlignment w:val="bottom"/>
        <w:rPr>
          <w:rFonts w:hint="eastAsia" w:ascii="宋体" w:hAnsi="宋体"/>
          <w:b/>
          <w:bCs w:val="0"/>
          <w:color w:val="auto"/>
          <w:sz w:val="72"/>
          <w:szCs w:val="72"/>
          <w:highlight w:val="none"/>
          <w:lang w:val="en-US" w:eastAsia="zh-CN"/>
        </w:rPr>
      </w:pPr>
      <w:r>
        <w:rPr>
          <w:rFonts w:hint="eastAsia" w:ascii="宋体" w:hAnsi="宋体"/>
          <w:b/>
          <w:bCs w:val="0"/>
          <w:color w:val="auto"/>
          <w:sz w:val="72"/>
          <w:szCs w:val="72"/>
          <w:highlight w:val="none"/>
          <w:lang w:val="en-US" w:eastAsia="zh-CN"/>
        </w:rPr>
        <w:t>2017年部门决算信息公开</w:t>
      </w:r>
    </w:p>
    <w:p>
      <w:pPr>
        <w:jc w:val="center"/>
        <w:textAlignment w:val="bottom"/>
        <w:rPr>
          <w:rFonts w:hint="eastAsia" w:ascii="宋体" w:hAnsi="宋体"/>
          <w:b/>
          <w:color w:val="auto"/>
          <w:sz w:val="72"/>
          <w:szCs w:val="72"/>
          <w:highlight w:val="none"/>
          <w:lang w:val="en-US" w:eastAsia="zh-CN"/>
        </w:rPr>
      </w:pPr>
    </w:p>
    <w:p>
      <w:pPr>
        <w:jc w:val="center"/>
        <w:textAlignment w:val="bottom"/>
        <w:rPr>
          <w:rFonts w:hint="eastAsia" w:ascii="宋体" w:hAnsi="宋体"/>
          <w:b/>
          <w:color w:val="auto"/>
          <w:sz w:val="72"/>
          <w:szCs w:val="72"/>
          <w:highlight w:val="none"/>
          <w:lang w:val="en-US" w:eastAsia="zh-CN"/>
        </w:rPr>
      </w:pPr>
    </w:p>
    <w:p>
      <w:pPr>
        <w:jc w:val="center"/>
        <w:textAlignment w:val="bottom"/>
        <w:rPr>
          <w:rFonts w:hint="eastAsia" w:ascii="宋体" w:hAnsi="宋体"/>
          <w:b/>
          <w:color w:val="auto"/>
          <w:sz w:val="72"/>
          <w:szCs w:val="72"/>
          <w:highlight w:val="none"/>
          <w:lang w:val="en-US" w:eastAsia="zh-CN"/>
        </w:rPr>
      </w:pPr>
    </w:p>
    <w:p>
      <w:pPr>
        <w:jc w:val="center"/>
        <w:textAlignment w:val="bottom"/>
        <w:rPr>
          <w:rFonts w:hint="eastAsia" w:ascii="宋体" w:hAnsi="宋体"/>
          <w:b/>
          <w:color w:val="auto"/>
          <w:sz w:val="72"/>
          <w:szCs w:val="72"/>
          <w:highlight w:val="none"/>
          <w:lang w:val="en-US" w:eastAsia="zh-CN"/>
        </w:rPr>
      </w:pPr>
    </w:p>
    <w:p>
      <w:pPr>
        <w:jc w:val="center"/>
        <w:textAlignment w:val="bottom"/>
        <w:rPr>
          <w:rFonts w:hint="eastAsia" w:ascii="宋体" w:hAnsi="宋体"/>
          <w:b/>
          <w:color w:val="auto"/>
          <w:sz w:val="32"/>
          <w:szCs w:val="32"/>
          <w:highlight w:val="none"/>
          <w:lang w:val="en-US" w:eastAsia="zh-CN"/>
        </w:rPr>
      </w:pPr>
      <w:r>
        <w:rPr>
          <w:rFonts w:hint="eastAsia" w:ascii="宋体" w:hAnsi="宋体"/>
          <w:b/>
          <w:color w:val="auto"/>
          <w:sz w:val="72"/>
          <w:szCs w:val="72"/>
          <w:highlight w:val="none"/>
          <w:lang w:val="en-US" w:eastAsia="zh-CN"/>
        </w:rPr>
        <w:t xml:space="preserve"> </w:t>
      </w:r>
      <w:r>
        <w:rPr>
          <w:rFonts w:hint="eastAsia" w:ascii="宋体" w:hAnsi="宋体"/>
          <w:b/>
          <w:color w:val="auto"/>
          <w:sz w:val="32"/>
          <w:szCs w:val="32"/>
          <w:highlight w:val="none"/>
          <w:lang w:val="en-US" w:eastAsia="zh-CN"/>
        </w:rPr>
        <w:t>内丘县机构编制委员会办公室</w:t>
      </w:r>
    </w:p>
    <w:p>
      <w:pPr>
        <w:jc w:val="center"/>
        <w:textAlignment w:val="bottom"/>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 xml:space="preserve">   2018 年 </w:t>
      </w:r>
      <w:bookmarkStart w:id="0" w:name="_GoBack"/>
      <w:bookmarkEnd w:id="0"/>
      <w:r>
        <w:rPr>
          <w:rFonts w:hint="eastAsia" w:ascii="宋体" w:hAnsi="宋体"/>
          <w:b/>
          <w:color w:val="auto"/>
          <w:sz w:val="32"/>
          <w:szCs w:val="32"/>
          <w:highlight w:val="none"/>
          <w:lang w:val="en-US" w:eastAsia="zh-CN"/>
        </w:rPr>
        <w:t>9月</w:t>
      </w:r>
    </w:p>
    <w:p>
      <w:pPr>
        <w:jc w:val="both"/>
        <w:textAlignment w:val="bottom"/>
        <w:rPr>
          <w:rFonts w:hint="eastAsia" w:ascii="宋体" w:hAnsi="宋体"/>
          <w:b/>
          <w:color w:val="auto"/>
          <w:sz w:val="44"/>
          <w:szCs w:val="44"/>
          <w:highlight w:val="none"/>
        </w:rPr>
      </w:pPr>
    </w:p>
    <w:p>
      <w:pPr>
        <w:ind w:firstLine="6184" w:firstLineChars="1400"/>
        <w:jc w:val="both"/>
        <w:textAlignment w:val="bottom"/>
        <w:rPr>
          <w:rFonts w:hint="eastAsia" w:ascii="宋体" w:hAnsi="宋体"/>
          <w:b/>
          <w:color w:val="auto"/>
          <w:sz w:val="44"/>
          <w:szCs w:val="44"/>
          <w:highlight w:val="none"/>
        </w:rPr>
      </w:pPr>
      <w:r>
        <w:rPr>
          <w:rFonts w:hint="eastAsia" w:ascii="宋体" w:hAnsi="宋体"/>
          <w:b/>
          <w:color w:val="auto"/>
          <w:sz w:val="44"/>
          <w:szCs w:val="44"/>
          <w:highlight w:val="none"/>
        </w:rPr>
        <w:t xml:space="preserve">目 </w:t>
      </w:r>
      <w:r>
        <w:rPr>
          <w:rFonts w:hint="eastAsia" w:ascii="宋体" w:hAnsi="宋体"/>
          <w:b/>
          <w:color w:val="auto"/>
          <w:sz w:val="44"/>
          <w:szCs w:val="44"/>
          <w:highlight w:val="none"/>
          <w:lang w:val="en-US" w:eastAsia="zh-CN"/>
        </w:rPr>
        <w:t xml:space="preserve">    </w:t>
      </w:r>
      <w:r>
        <w:rPr>
          <w:rFonts w:hint="eastAsia" w:ascii="宋体" w:hAnsi="宋体"/>
          <w:b/>
          <w:color w:val="auto"/>
          <w:sz w:val="44"/>
          <w:szCs w:val="44"/>
          <w:highlight w:val="none"/>
        </w:rPr>
        <w:t xml:space="preserve"> 录</w:t>
      </w:r>
    </w:p>
    <w:p>
      <w:pPr>
        <w:textAlignment w:val="bottom"/>
        <w:rPr>
          <w:rFonts w:hint="eastAsia" w:ascii="仿宋" w:hAnsi="仿宋" w:eastAsia="仿宋"/>
          <w:color w:val="auto"/>
          <w:sz w:val="32"/>
          <w:szCs w:val="32"/>
          <w:highlight w:val="none"/>
        </w:rPr>
      </w:pPr>
    </w:p>
    <w:p>
      <w:pPr>
        <w:ind w:firstLine="640" w:firstLineChars="200"/>
        <w:textAlignment w:val="bottom"/>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第一部分  内丘县</w:t>
      </w:r>
      <w:r>
        <w:rPr>
          <w:rFonts w:hint="eastAsia" w:ascii="黑体" w:hAnsi="黑体" w:eastAsia="黑体"/>
          <w:color w:val="auto"/>
          <w:sz w:val="32"/>
          <w:szCs w:val="32"/>
          <w:highlight w:val="none"/>
          <w:lang w:eastAsia="zh-CN"/>
        </w:rPr>
        <w:t>机构编制委员会办公室</w:t>
      </w:r>
      <w:r>
        <w:rPr>
          <w:rFonts w:hint="eastAsia" w:ascii="黑体" w:hAnsi="黑体" w:eastAsia="黑体"/>
          <w:color w:val="auto"/>
          <w:sz w:val="32"/>
          <w:szCs w:val="32"/>
          <w:highlight w:val="none"/>
        </w:rPr>
        <w:t>概况</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一、主要职责</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二、机构设置</w:t>
      </w:r>
    </w:p>
    <w:p>
      <w:pPr>
        <w:ind w:firstLine="640" w:firstLineChars="200"/>
        <w:textAlignment w:val="bottom"/>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第二部分  内丘县</w:t>
      </w:r>
      <w:r>
        <w:rPr>
          <w:rFonts w:hint="eastAsia" w:ascii="黑体" w:hAnsi="黑体" w:eastAsia="黑体"/>
          <w:color w:val="auto"/>
          <w:sz w:val="32"/>
          <w:szCs w:val="32"/>
          <w:highlight w:val="none"/>
          <w:lang w:eastAsia="zh-CN"/>
        </w:rPr>
        <w:t>机构编制委员会办公室</w:t>
      </w:r>
      <w:r>
        <w:rPr>
          <w:rFonts w:hint="eastAsia" w:ascii="黑体" w:hAnsi="黑体" w:eastAsia="黑体"/>
          <w:color w:val="auto"/>
          <w:sz w:val="32"/>
          <w:szCs w:val="32"/>
          <w:highlight w:val="none"/>
        </w:rPr>
        <w:t>201</w:t>
      </w:r>
      <w:r>
        <w:rPr>
          <w:rFonts w:hint="eastAsia" w:ascii="黑体" w:hAnsi="黑体" w:eastAsia="黑体"/>
          <w:color w:val="auto"/>
          <w:sz w:val="32"/>
          <w:szCs w:val="32"/>
          <w:highlight w:val="none"/>
          <w:lang w:val="en-US" w:eastAsia="zh-CN"/>
        </w:rPr>
        <w:t>7</w:t>
      </w:r>
      <w:r>
        <w:rPr>
          <w:rFonts w:hint="eastAsia" w:ascii="黑体" w:hAnsi="黑体" w:eastAsia="黑体"/>
          <w:color w:val="auto"/>
          <w:sz w:val="32"/>
          <w:szCs w:val="32"/>
          <w:highlight w:val="none"/>
        </w:rPr>
        <w:t>年度决算报表</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一、收入支出决算总表</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二、收入决算表</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三、支出决算表</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四、财政拨款收入支出决算总表</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五、一般公共预算财政拨款支出决算表</w:t>
      </w:r>
    </w:p>
    <w:p>
      <w:pPr>
        <w:ind w:firstLine="640" w:firstLineChars="200"/>
        <w:textAlignment w:val="bottom"/>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六、一般公共预算财政拨款基本支出决算表</w:t>
      </w:r>
    </w:p>
    <w:p>
      <w:pPr>
        <w:ind w:firstLine="640" w:firstLineChars="200"/>
        <w:textAlignment w:val="bottom"/>
        <w:rPr>
          <w:rFonts w:hint="eastAsia" w:ascii="仿宋" w:hAnsi="仿宋" w:eastAsia="仿宋" w:cs="Arial"/>
          <w:color w:val="auto"/>
          <w:kern w:val="0"/>
          <w:sz w:val="32"/>
          <w:szCs w:val="32"/>
          <w:highlight w:val="none"/>
        </w:rPr>
      </w:pPr>
      <w:r>
        <w:rPr>
          <w:rFonts w:hint="eastAsia" w:ascii="仿宋" w:hAnsi="仿宋" w:eastAsia="仿宋"/>
          <w:color w:val="auto"/>
          <w:sz w:val="32"/>
          <w:szCs w:val="32"/>
          <w:highlight w:val="none"/>
        </w:rPr>
        <w:t>七、</w:t>
      </w:r>
      <w:r>
        <w:rPr>
          <w:rFonts w:hint="eastAsia" w:ascii="仿宋" w:hAnsi="仿宋" w:eastAsia="仿宋" w:cs="Arial"/>
          <w:color w:val="auto"/>
          <w:kern w:val="0"/>
          <w:sz w:val="32"/>
          <w:szCs w:val="32"/>
          <w:highlight w:val="none"/>
        </w:rPr>
        <w:t>政府性基金预算财政拨款收入支出决算表</w:t>
      </w:r>
    </w:p>
    <w:p>
      <w:pPr>
        <w:ind w:firstLine="640" w:firstLineChars="200"/>
        <w:textAlignment w:val="bottom"/>
        <w:rPr>
          <w:rFonts w:hint="eastAsia"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八、国有资本经营预算财政拨款收入支出决算表</w:t>
      </w:r>
    </w:p>
    <w:p>
      <w:pPr>
        <w:ind w:firstLine="640" w:firstLineChars="200"/>
        <w:textAlignment w:val="bottom"/>
        <w:rPr>
          <w:rFonts w:hint="eastAsia"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九、“三公”经费及相关信息统计表</w:t>
      </w:r>
    </w:p>
    <w:p>
      <w:pPr>
        <w:ind w:firstLine="640" w:firstLineChars="200"/>
        <w:textAlignment w:val="bottom"/>
        <w:rPr>
          <w:rFonts w:hint="eastAsia" w:ascii="仿宋" w:hAnsi="仿宋" w:eastAsia="仿宋" w:cs="Arial"/>
          <w:color w:val="auto"/>
          <w:kern w:val="0"/>
          <w:sz w:val="32"/>
          <w:szCs w:val="32"/>
          <w:highlight w:val="none"/>
        </w:rPr>
      </w:pPr>
      <w:r>
        <w:rPr>
          <w:rFonts w:hint="eastAsia" w:ascii="仿宋" w:hAnsi="仿宋" w:eastAsia="仿宋" w:cs="Arial"/>
          <w:color w:val="auto"/>
          <w:kern w:val="0"/>
          <w:sz w:val="32"/>
          <w:szCs w:val="32"/>
          <w:highlight w:val="none"/>
        </w:rPr>
        <w:t>十、政府采购情况表</w:t>
      </w:r>
    </w:p>
    <w:p>
      <w:pPr>
        <w:pStyle w:val="7"/>
        <w:spacing w:line="600" w:lineRule="exact"/>
        <w:ind w:firstLine="640" w:firstLineChars="200"/>
        <w:jc w:val="both"/>
        <w:rPr>
          <w:rFonts w:ascii="黑体" w:hAnsi="黑体" w:eastAsia="黑体"/>
          <w:color w:val="auto"/>
          <w:sz w:val="32"/>
          <w:szCs w:val="32"/>
          <w:highlight w:val="none"/>
        </w:rPr>
      </w:pPr>
      <w:r>
        <w:rPr>
          <w:rFonts w:hint="eastAsia" w:ascii="黑体" w:hAnsi="黑体" w:eastAsia="黑体"/>
          <w:color w:val="auto"/>
          <w:sz w:val="32"/>
          <w:szCs w:val="32"/>
          <w:highlight w:val="none"/>
        </w:rPr>
        <w:t>第三部分  201</w:t>
      </w:r>
      <w:r>
        <w:rPr>
          <w:rFonts w:hint="eastAsia" w:ascii="黑体" w:hAnsi="黑体" w:eastAsia="黑体"/>
          <w:color w:val="auto"/>
          <w:sz w:val="32"/>
          <w:szCs w:val="32"/>
          <w:highlight w:val="none"/>
          <w:lang w:val="en-US" w:eastAsia="zh-CN"/>
        </w:rPr>
        <w:t>7</w:t>
      </w:r>
      <w:r>
        <w:rPr>
          <w:rFonts w:hint="eastAsia" w:ascii="黑体" w:hAnsi="黑体" w:eastAsia="黑体"/>
          <w:color w:val="auto"/>
          <w:sz w:val="32"/>
          <w:szCs w:val="32"/>
          <w:highlight w:val="none"/>
        </w:rPr>
        <w:t>年度决算情内丘县</w:t>
      </w:r>
      <w:r>
        <w:rPr>
          <w:rFonts w:hint="eastAsia" w:ascii="黑体" w:hAnsi="黑体" w:eastAsia="黑体"/>
          <w:color w:val="auto"/>
          <w:sz w:val="32"/>
          <w:szCs w:val="32"/>
          <w:highlight w:val="none"/>
          <w:lang w:eastAsia="zh-CN"/>
        </w:rPr>
        <w:t>机构编制委员会办公室</w:t>
      </w:r>
      <w:r>
        <w:rPr>
          <w:rFonts w:hint="eastAsia" w:ascii="黑体" w:hAnsi="黑体" w:eastAsia="黑体"/>
          <w:color w:val="auto"/>
          <w:sz w:val="32"/>
          <w:szCs w:val="32"/>
          <w:highlight w:val="none"/>
        </w:rPr>
        <w:t>况说明</w:t>
      </w:r>
    </w:p>
    <w:p>
      <w:pPr>
        <w:pStyle w:val="7"/>
        <w:spacing w:line="600" w:lineRule="exact"/>
        <w:ind w:firstLine="640" w:firstLineChars="200"/>
        <w:jc w:val="both"/>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一、收入支出决算总体情况说明</w:t>
      </w:r>
    </w:p>
    <w:p>
      <w:pPr>
        <w:pStyle w:val="7"/>
        <w:spacing w:line="600" w:lineRule="exact"/>
        <w:ind w:firstLine="640" w:firstLineChars="200"/>
        <w:jc w:val="both"/>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二、收入决算情况说明</w:t>
      </w:r>
    </w:p>
    <w:p>
      <w:pPr>
        <w:pStyle w:val="7"/>
        <w:spacing w:line="600" w:lineRule="exact"/>
        <w:ind w:firstLine="640" w:firstLineChars="200"/>
        <w:jc w:val="both"/>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三、支出决算情况说明</w:t>
      </w:r>
    </w:p>
    <w:p>
      <w:pPr>
        <w:pStyle w:val="7"/>
        <w:spacing w:line="600" w:lineRule="exact"/>
        <w:ind w:firstLine="640" w:firstLineChars="200"/>
        <w:jc w:val="both"/>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四、财政拨款收入支出决算总体情况说明</w:t>
      </w:r>
    </w:p>
    <w:p>
      <w:pPr>
        <w:pStyle w:val="7"/>
        <w:spacing w:line="600" w:lineRule="exact"/>
        <w:ind w:firstLine="640" w:firstLineChars="200"/>
        <w:jc w:val="both"/>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五、“三公”经费支出决算情况说明</w:t>
      </w:r>
    </w:p>
    <w:p>
      <w:pPr>
        <w:pStyle w:val="7"/>
        <w:spacing w:line="600" w:lineRule="exact"/>
        <w:ind w:firstLine="640" w:firstLineChars="200"/>
        <w:jc w:val="both"/>
        <w:rPr>
          <w:rFonts w:hint="eastAsia"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六、政府采购情况的说明</w:t>
      </w:r>
    </w:p>
    <w:p>
      <w:pPr>
        <w:pStyle w:val="7"/>
        <w:spacing w:line="600" w:lineRule="exact"/>
        <w:ind w:firstLine="640" w:firstLineChars="200"/>
        <w:jc w:val="both"/>
        <w:rPr>
          <w:rFonts w:hint="eastAsia"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七、资产情况的说明</w:t>
      </w:r>
    </w:p>
    <w:p>
      <w:pPr>
        <w:pStyle w:val="7"/>
        <w:spacing w:line="600" w:lineRule="exact"/>
        <w:ind w:firstLine="640" w:firstLineChars="200"/>
        <w:jc w:val="both"/>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lang w:val="en-US" w:eastAsia="zh-CN"/>
        </w:rPr>
        <w:t>八</w:t>
      </w:r>
      <w:r>
        <w:rPr>
          <w:rFonts w:hint="eastAsia" w:ascii="仿宋" w:hAnsi="仿宋" w:eastAsia="仿宋" w:cs="Times New Roman"/>
          <w:color w:val="auto"/>
          <w:sz w:val="32"/>
          <w:szCs w:val="32"/>
          <w:highlight w:val="none"/>
        </w:rPr>
        <w:t>、预算绩效管理工作开展情况说明</w:t>
      </w:r>
    </w:p>
    <w:p>
      <w:pPr>
        <w:pStyle w:val="7"/>
        <w:spacing w:line="600" w:lineRule="exact"/>
        <w:ind w:firstLine="640" w:firstLineChars="200"/>
        <w:jc w:val="both"/>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第四部分  名词解释</w:t>
      </w:r>
    </w:p>
    <w:p>
      <w:pPr>
        <w:jc w:val="center"/>
        <w:rPr>
          <w:rFonts w:hint="eastAsia"/>
          <w:b/>
          <w:bCs/>
          <w:color w:val="auto"/>
          <w:sz w:val="44"/>
          <w:szCs w:val="44"/>
          <w:highlight w:val="none"/>
          <w:lang w:val="en-US" w:eastAsia="zh-CN"/>
        </w:rPr>
      </w:pPr>
    </w:p>
    <w:p>
      <w:pPr>
        <w:jc w:val="both"/>
        <w:rPr>
          <w:rFonts w:hint="eastAsia"/>
          <w:b/>
          <w:bCs/>
          <w:color w:val="auto"/>
          <w:sz w:val="44"/>
          <w:szCs w:val="44"/>
          <w:highlight w:val="none"/>
          <w:lang w:val="en-US" w:eastAsia="zh-CN"/>
        </w:rPr>
      </w:pPr>
      <w:r>
        <w:rPr>
          <w:rFonts w:hint="eastAsia"/>
          <w:b/>
          <w:bCs/>
          <w:color w:val="auto"/>
          <w:sz w:val="44"/>
          <w:szCs w:val="44"/>
          <w:highlight w:val="none"/>
          <w:lang w:val="en-US" w:eastAsia="zh-CN"/>
        </w:rPr>
        <w:t xml:space="preserve">                   内丘县机构编制委员会办公室</w:t>
      </w:r>
    </w:p>
    <w:p>
      <w:pPr>
        <w:ind w:firstLine="5742" w:firstLineChars="1300"/>
        <w:jc w:val="both"/>
        <w:rPr>
          <w:rFonts w:hint="eastAsia"/>
          <w:b/>
          <w:bCs/>
          <w:color w:val="auto"/>
          <w:sz w:val="36"/>
          <w:szCs w:val="36"/>
          <w:highlight w:val="none"/>
        </w:rPr>
      </w:pPr>
      <w:r>
        <w:rPr>
          <w:rFonts w:hint="eastAsia"/>
          <w:b/>
          <w:bCs/>
          <w:color w:val="auto"/>
          <w:sz w:val="44"/>
          <w:szCs w:val="44"/>
          <w:highlight w:val="none"/>
          <w:lang w:val="en-US" w:eastAsia="zh-CN"/>
        </w:rPr>
        <w:t>2017年部门决算</w:t>
      </w:r>
    </w:p>
    <w:p>
      <w:pPr>
        <w:rPr>
          <w:rFonts w:hint="eastAsia"/>
          <w:color w:val="auto"/>
          <w:sz w:val="32"/>
          <w:szCs w:val="32"/>
          <w:highlight w:val="none"/>
          <w:lang w:val="en-US" w:eastAsia="zh-CN"/>
        </w:rPr>
      </w:pPr>
      <w:r>
        <w:rPr>
          <w:rFonts w:hint="eastAsia"/>
          <w:color w:val="auto"/>
          <w:sz w:val="32"/>
          <w:szCs w:val="32"/>
          <w:highlight w:val="none"/>
          <w:lang w:val="en-US" w:eastAsia="zh-CN"/>
        </w:rPr>
        <w:t xml:space="preserve">    </w:t>
      </w:r>
    </w:p>
    <w:p>
      <w:pPr>
        <w:rPr>
          <w:rFonts w:hint="eastAsia"/>
          <w:b/>
          <w:bCs/>
          <w:color w:val="auto"/>
          <w:sz w:val="32"/>
          <w:szCs w:val="32"/>
          <w:highlight w:val="none"/>
        </w:rPr>
      </w:pPr>
      <w:r>
        <w:rPr>
          <w:rFonts w:hint="eastAsia"/>
          <w:color w:val="auto"/>
          <w:sz w:val="32"/>
          <w:szCs w:val="32"/>
          <w:highlight w:val="none"/>
          <w:lang w:val="en-US" w:eastAsia="zh-CN"/>
        </w:rPr>
        <w:t xml:space="preserve">  </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b/>
          <w:bCs/>
          <w:color w:val="auto"/>
          <w:sz w:val="32"/>
          <w:szCs w:val="32"/>
          <w:highlight w:val="none"/>
        </w:rPr>
        <w:t xml:space="preserve">第一部分 </w:t>
      </w:r>
      <w:r>
        <w:rPr>
          <w:rFonts w:hint="eastAsia" w:ascii="黑体" w:hAnsi="黑体" w:eastAsia="黑体" w:cs="黑体"/>
          <w:b/>
          <w:bCs/>
          <w:color w:val="auto"/>
          <w:sz w:val="32"/>
          <w:szCs w:val="32"/>
          <w:highlight w:val="none"/>
          <w:lang w:val="en-US" w:eastAsia="zh-CN"/>
        </w:rPr>
        <w:t>部门</w:t>
      </w:r>
      <w:r>
        <w:rPr>
          <w:rFonts w:hint="eastAsia" w:ascii="黑体" w:hAnsi="黑体" w:eastAsia="黑体" w:cs="黑体"/>
          <w:b/>
          <w:bCs/>
          <w:color w:val="auto"/>
          <w:sz w:val="32"/>
          <w:szCs w:val="32"/>
          <w:highlight w:val="none"/>
        </w:rPr>
        <w:t>概况</w:t>
      </w:r>
      <w:r>
        <w:rPr>
          <w:rFonts w:hint="eastAsia"/>
          <w:b/>
          <w:bCs/>
          <w:color w:val="auto"/>
          <w:sz w:val="32"/>
          <w:szCs w:val="32"/>
          <w:highlight w:val="none"/>
        </w:rPr>
        <w:t xml:space="preserve"> </w:t>
      </w:r>
    </w:p>
    <w:p>
      <w:pPr>
        <w:numPr>
          <w:ilvl w:val="0"/>
          <w:numId w:val="0"/>
        </w:numPr>
        <w:tabs>
          <w:tab w:val="left" w:pos="619"/>
        </w:tabs>
        <w:autoSpaceDE w:val="0"/>
        <w:autoSpaceDN w:val="0"/>
        <w:adjustRightInd w:val="0"/>
        <w:spacing w:line="560" w:lineRule="atLeast"/>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lang w:val="en-US" w:eastAsia="zh-CN"/>
        </w:rPr>
        <w:t xml:space="preserve">    一、</w:t>
      </w:r>
      <w:r>
        <w:rPr>
          <w:rFonts w:hint="eastAsia" w:ascii="仿宋" w:hAnsi="仿宋" w:eastAsia="仿宋" w:cs="仿宋"/>
          <w:b/>
          <w:bCs/>
          <w:color w:val="auto"/>
          <w:kern w:val="0"/>
          <w:sz w:val="32"/>
          <w:szCs w:val="32"/>
          <w:highlight w:val="none"/>
          <w:lang w:val="zh-CN"/>
        </w:rPr>
        <w:t>主要职责</w:t>
      </w:r>
    </w:p>
    <w:p>
      <w:pPr>
        <w:spacing w:line="586" w:lineRule="atLeas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贯彻落实党中央、国务院和省、市关于行政管理体制和机构改革以及机构编制管理的政策法规，组织拟订全县行政管理体制和机构改革以及机构编制管理的政策措施并监督实施</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管理和指导全县事业单位机构编制工作。组织拟订全县行政管理体制和机构改革总体方案并组织实施。审核并管理全县各级各类人员编制总额。负责综合行政执法试点工作。协调县委、县政府各部门的职能配置及其调整。审核或审批县委、县政府及各部门和群团机关的派出机构的职能配置、机构设置、人员编制和领导职数</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审核县人大、县政协、县法院、县检察院、各人民团体机关的职能配置、机构设置、人员编制和领导职数。组织拟订全县事业单位管理体制和机构改革方案。落实事业单位机构编制标准，组织拟订全县各类事业单位分类管理办法。审核事业编制总量和结构</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负责全县事业单位法人登记管理和监督检查工作。负责机构编制日常管理。负责对全县机构编制的总量控制、动态管理和机构编制标准化工作。负责机构编制实名制管理，以及编制使用核准等工作。建立健全机构编制部门与有关部门的配合制约机制。负责对各级行政、事业单位管理体制和机构改革及机构编制执行情况的跟踪评估和监督检查。负责全县机构编制信息管理系统、电子政务和机构编制网站的建设和管理。负责全县机构编制统计工作。指导全县党政群机关、事业单位和其他非营利性单位网上名称管理工作。</w:t>
      </w:r>
    </w:p>
    <w:p>
      <w:pPr>
        <w:autoSpaceDE w:val="0"/>
        <w:autoSpaceDN w:val="0"/>
        <w:adjustRightInd w:val="0"/>
        <w:spacing w:line="560" w:lineRule="atLeast"/>
        <w:rPr>
          <w:rFonts w:hint="eastAsia" w:ascii="仿宋" w:hAnsi="仿宋" w:eastAsia="仿宋" w:cs="仿宋"/>
          <w:b/>
          <w:bCs/>
          <w:color w:val="auto"/>
          <w:kern w:val="0"/>
          <w:sz w:val="32"/>
          <w:szCs w:val="32"/>
          <w:highlight w:val="none"/>
        </w:rPr>
      </w:pP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b/>
          <w:bCs/>
          <w:color w:val="auto"/>
          <w:kern w:val="0"/>
          <w:sz w:val="32"/>
          <w:szCs w:val="32"/>
          <w:highlight w:val="none"/>
          <w:lang w:val="en-US" w:eastAsia="zh-CN"/>
        </w:rPr>
        <w:t xml:space="preserve">  二、部门决算单位构成</w:t>
      </w:r>
    </w:p>
    <w:p>
      <w:pPr>
        <w:spacing w:line="586" w:lineRule="atLeast"/>
        <w:ind w:firstLine="640"/>
        <w:rPr>
          <w:rFonts w:hint="eastAsia" w:ascii="仿宋" w:hAnsi="仿宋" w:eastAsia="仿宋" w:cs="仿宋"/>
          <w:color w:val="auto"/>
          <w:kern w:val="0"/>
          <w:sz w:val="32"/>
          <w:szCs w:val="32"/>
          <w:highlight w:val="none"/>
          <w:lang w:val="zh-CN"/>
        </w:rPr>
      </w:pPr>
      <w:r>
        <w:rPr>
          <w:rFonts w:hint="eastAsia" w:ascii="仿宋" w:hAnsi="仿宋" w:eastAsia="仿宋" w:cs="仿宋"/>
          <w:color w:val="auto"/>
          <w:sz w:val="32"/>
          <w:szCs w:val="32"/>
          <w:highlight w:val="none"/>
        </w:rPr>
        <w:t>内丘县机构编制委员会办公室设1个内设机构，即综合股（监督检查股）。</w:t>
      </w:r>
      <w:r>
        <w:rPr>
          <w:rFonts w:hint="eastAsia" w:ascii="仿宋" w:hAnsi="仿宋" w:eastAsia="仿宋" w:cs="仿宋"/>
          <w:color w:val="auto"/>
          <w:kern w:val="0"/>
          <w:sz w:val="32"/>
          <w:szCs w:val="32"/>
          <w:highlight w:val="none"/>
          <w:lang w:val="zh-CN"/>
        </w:rPr>
        <w:t>所属事业单位</w:t>
      </w:r>
      <w:r>
        <w:rPr>
          <w:rFonts w:hint="eastAsia" w:ascii="仿宋" w:hAnsi="仿宋" w:eastAsia="仿宋" w:cs="仿宋"/>
          <w:color w:val="auto"/>
          <w:kern w:val="0"/>
          <w:sz w:val="32"/>
          <w:szCs w:val="32"/>
          <w:highlight w:val="none"/>
        </w:rPr>
        <w:t>2</w:t>
      </w:r>
      <w:r>
        <w:rPr>
          <w:rFonts w:hint="eastAsia" w:ascii="仿宋" w:hAnsi="仿宋" w:eastAsia="仿宋" w:cs="仿宋"/>
          <w:color w:val="auto"/>
          <w:kern w:val="0"/>
          <w:sz w:val="32"/>
          <w:szCs w:val="32"/>
          <w:highlight w:val="none"/>
          <w:lang w:val="zh-CN"/>
        </w:rPr>
        <w:t>个，分别是：事业单位登记管理局、机构编制电子政务中心。</w:t>
      </w:r>
    </w:p>
    <w:p>
      <w:pPr>
        <w:spacing w:line="586" w:lineRule="atLeast"/>
        <w:rPr>
          <w:rFonts w:hint="eastAsia" w:ascii="仿宋" w:hAnsi="仿宋" w:eastAsia="仿宋" w:cs="仿宋"/>
          <w:b/>
          <w:bCs/>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 xml:space="preserve"> </w:t>
      </w:r>
      <w:r>
        <w:rPr>
          <w:rFonts w:hint="eastAsia" w:ascii="仿宋" w:hAnsi="仿宋" w:eastAsia="仿宋" w:cs="仿宋"/>
          <w:b/>
          <w:bCs/>
          <w:color w:val="auto"/>
          <w:kern w:val="0"/>
          <w:sz w:val="32"/>
          <w:szCs w:val="32"/>
          <w:highlight w:val="none"/>
          <w:lang w:val="en-US" w:eastAsia="zh-CN"/>
        </w:rPr>
        <w:t xml:space="preserve">   </w:t>
      </w:r>
    </w:p>
    <w:p>
      <w:pPr>
        <w:spacing w:line="586" w:lineRule="atLeast"/>
        <w:ind w:firstLine="640" w:firstLineChars="200"/>
        <w:rPr>
          <w:rFonts w:hint="eastAsia" w:ascii="黑体" w:hAnsi="黑体" w:eastAsia="黑体" w:cs="黑体"/>
          <w:color w:val="auto"/>
          <w:sz w:val="32"/>
          <w:szCs w:val="32"/>
          <w:highlight w:val="none"/>
          <w:lang w:val="en-US" w:eastAsia="zh-CN"/>
        </w:rPr>
      </w:pPr>
    </w:p>
    <w:p>
      <w:pPr>
        <w:numPr>
          <w:ilvl w:val="0"/>
          <w:numId w:val="0"/>
        </w:numPr>
        <w:spacing w:line="560" w:lineRule="exact"/>
        <w:rPr>
          <w:rFonts w:hint="eastAsia" w:ascii="黑体" w:hAnsi="黑体" w:eastAsia="黑体" w:cs="黑体"/>
          <w:color w:val="auto"/>
          <w:sz w:val="32"/>
          <w:szCs w:val="32"/>
          <w:highlight w:val="none"/>
          <w:lang w:val="en-US" w:eastAsia="zh-CN"/>
        </w:rPr>
      </w:pPr>
    </w:p>
    <w:p>
      <w:pPr>
        <w:numPr>
          <w:ilvl w:val="0"/>
          <w:numId w:val="0"/>
        </w:numPr>
        <w:spacing w:line="560" w:lineRule="exact"/>
        <w:ind w:firstLine="723" w:firstLineChars="200"/>
        <w:rPr>
          <w:rFonts w:hint="eastAsia" w:ascii="黑体" w:hAnsi="黑体" w:eastAsia="黑体" w:cs="黑体"/>
          <w:b/>
          <w:bCs/>
          <w:color w:val="auto"/>
          <w:sz w:val="36"/>
          <w:szCs w:val="36"/>
          <w:highlight w:val="none"/>
          <w:lang w:val="en-US" w:eastAsia="zh-CN"/>
        </w:rPr>
      </w:pPr>
    </w:p>
    <w:p>
      <w:pPr>
        <w:numPr>
          <w:ilvl w:val="0"/>
          <w:numId w:val="0"/>
        </w:numPr>
        <w:spacing w:line="560" w:lineRule="exact"/>
        <w:ind w:firstLine="883" w:firstLineChars="200"/>
        <w:rPr>
          <w:rFonts w:hint="eastAsia" w:ascii="黑体" w:hAnsi="黑体" w:eastAsia="黑体" w:cs="黑体"/>
          <w:b/>
          <w:bCs/>
          <w:color w:val="auto"/>
          <w:sz w:val="44"/>
          <w:szCs w:val="44"/>
          <w:highlight w:val="none"/>
          <w:lang w:val="en-US" w:eastAsia="zh-CN"/>
        </w:rPr>
      </w:pPr>
    </w:p>
    <w:p>
      <w:pPr>
        <w:numPr>
          <w:ilvl w:val="0"/>
          <w:numId w:val="0"/>
        </w:numPr>
        <w:spacing w:line="560" w:lineRule="exact"/>
        <w:ind w:firstLine="883" w:firstLineChars="200"/>
        <w:rPr>
          <w:rFonts w:hint="eastAsia" w:ascii="黑体" w:hAnsi="黑体" w:eastAsia="黑体" w:cs="黑体"/>
          <w:b/>
          <w:bCs/>
          <w:color w:val="auto"/>
          <w:sz w:val="44"/>
          <w:szCs w:val="44"/>
          <w:highlight w:val="none"/>
          <w:lang w:val="en-US" w:eastAsia="zh-CN"/>
        </w:rPr>
      </w:pPr>
    </w:p>
    <w:p>
      <w:pPr>
        <w:numPr>
          <w:ilvl w:val="0"/>
          <w:numId w:val="0"/>
        </w:numPr>
        <w:spacing w:line="560" w:lineRule="exact"/>
        <w:ind w:firstLine="883" w:firstLineChars="200"/>
        <w:rPr>
          <w:rFonts w:hint="eastAsia" w:ascii="黑体" w:hAnsi="黑体" w:eastAsia="黑体" w:cs="黑体"/>
          <w:b/>
          <w:bCs/>
          <w:color w:val="auto"/>
          <w:sz w:val="44"/>
          <w:szCs w:val="44"/>
          <w:highlight w:val="none"/>
          <w:lang w:val="en-US" w:eastAsia="zh-CN"/>
        </w:rPr>
      </w:pPr>
    </w:p>
    <w:p>
      <w:pPr>
        <w:numPr>
          <w:ilvl w:val="0"/>
          <w:numId w:val="0"/>
        </w:numPr>
        <w:spacing w:line="560" w:lineRule="exact"/>
        <w:ind w:firstLine="883" w:firstLineChars="200"/>
        <w:rPr>
          <w:rFonts w:hint="eastAsia" w:ascii="黑体" w:hAnsi="黑体" w:eastAsia="黑体" w:cs="黑体"/>
          <w:b/>
          <w:bCs/>
          <w:color w:val="auto"/>
          <w:sz w:val="44"/>
          <w:szCs w:val="44"/>
          <w:highlight w:val="none"/>
          <w:lang w:val="en-US" w:eastAsia="zh-CN"/>
        </w:rPr>
      </w:pPr>
      <w:r>
        <w:rPr>
          <w:rFonts w:hint="eastAsia" w:ascii="黑体" w:hAnsi="黑体" w:eastAsia="黑体" w:cs="黑体"/>
          <w:b/>
          <w:bCs/>
          <w:color w:val="auto"/>
          <w:sz w:val="44"/>
          <w:szCs w:val="44"/>
          <w:highlight w:val="none"/>
          <w:lang w:val="en-US" w:eastAsia="zh-CN"/>
        </w:rPr>
        <w:t xml:space="preserve">第二部分 内丘县机构编制委员会办公室2017年度部门决算报表 </w:t>
      </w:r>
    </w:p>
    <w:p>
      <w:pPr>
        <w:numPr>
          <w:ilvl w:val="0"/>
          <w:numId w:val="0"/>
        </w:numPr>
        <w:spacing w:line="560" w:lineRule="exact"/>
        <w:rPr>
          <w:rFonts w:hint="eastAsia" w:ascii="黑体" w:hAnsi="黑体" w:eastAsia="黑体" w:cs="黑体"/>
          <w:b/>
          <w:bCs/>
          <w:color w:val="auto"/>
          <w:sz w:val="36"/>
          <w:szCs w:val="36"/>
          <w:highlight w:val="none"/>
          <w:lang w:val="en-US" w:eastAsia="zh-CN"/>
        </w:rPr>
      </w:pPr>
    </w:p>
    <w:p>
      <w:pPr>
        <w:numPr>
          <w:ilvl w:val="0"/>
          <w:numId w:val="0"/>
        </w:numPr>
        <w:spacing w:line="560" w:lineRule="exact"/>
        <w:rPr>
          <w:rFonts w:hint="eastAsia" w:ascii="黑体" w:hAnsi="黑体" w:eastAsia="黑体" w:cs="黑体"/>
          <w:b/>
          <w:bCs/>
          <w:color w:val="auto"/>
          <w:sz w:val="36"/>
          <w:szCs w:val="36"/>
          <w:highlight w:val="none"/>
          <w:lang w:val="en-US" w:eastAsia="zh-CN"/>
        </w:rPr>
      </w:pPr>
    </w:p>
    <w:p>
      <w:pPr>
        <w:numPr>
          <w:ilvl w:val="0"/>
          <w:numId w:val="0"/>
        </w:numPr>
        <w:spacing w:line="560" w:lineRule="exact"/>
        <w:rPr>
          <w:rFonts w:hint="eastAsia" w:ascii="黑体" w:hAnsi="黑体" w:eastAsia="黑体" w:cs="黑体"/>
          <w:b/>
          <w:bCs/>
          <w:color w:val="auto"/>
          <w:sz w:val="36"/>
          <w:szCs w:val="36"/>
          <w:highlight w:val="none"/>
          <w:lang w:val="en-US" w:eastAsia="zh-CN"/>
        </w:rPr>
      </w:pPr>
      <w:r>
        <w:rPr>
          <w:rFonts w:hint="eastAsia" w:ascii="黑体" w:hAnsi="黑体" w:eastAsia="黑体" w:cs="黑体"/>
          <w:b/>
          <w:bCs/>
          <w:color w:val="auto"/>
          <w:sz w:val="36"/>
          <w:szCs w:val="36"/>
          <w:highlight w:val="none"/>
          <w:lang w:val="en-US" w:eastAsia="zh-CN"/>
        </w:rPr>
        <w:t xml:space="preserve"> </w:t>
      </w:r>
    </w:p>
    <w:p>
      <w:pPr>
        <w:numPr>
          <w:ilvl w:val="0"/>
          <w:numId w:val="0"/>
        </w:numPr>
        <w:spacing w:line="560" w:lineRule="exact"/>
        <w:rPr>
          <w:rFonts w:hint="eastAsia" w:ascii="黑体" w:hAnsi="黑体" w:eastAsia="黑体" w:cs="黑体"/>
          <w:color w:val="auto"/>
          <w:sz w:val="32"/>
          <w:szCs w:val="32"/>
          <w:highlight w:val="none"/>
          <w:lang w:val="en-US" w:eastAsia="zh-CN"/>
        </w:rPr>
      </w:pPr>
    </w:p>
    <w:p>
      <w:pPr>
        <w:numPr>
          <w:ilvl w:val="0"/>
          <w:numId w:val="0"/>
        </w:numPr>
        <w:spacing w:line="560" w:lineRule="exact"/>
        <w:rPr>
          <w:rFonts w:hint="eastAsia" w:ascii="黑体" w:hAnsi="黑体" w:eastAsia="黑体" w:cs="黑体"/>
          <w:color w:val="auto"/>
          <w:sz w:val="32"/>
          <w:szCs w:val="32"/>
          <w:highlight w:val="none"/>
          <w:lang w:val="en-US" w:eastAsia="zh-CN"/>
        </w:rPr>
      </w:pPr>
    </w:p>
    <w:p>
      <w:pPr>
        <w:numPr>
          <w:ilvl w:val="0"/>
          <w:numId w:val="0"/>
        </w:numPr>
        <w:spacing w:line="560" w:lineRule="exact"/>
        <w:rPr>
          <w:rFonts w:hint="eastAsia" w:ascii="黑体" w:hAnsi="黑体" w:eastAsia="黑体" w:cs="黑体"/>
          <w:color w:val="auto"/>
          <w:sz w:val="32"/>
          <w:szCs w:val="32"/>
          <w:highlight w:val="none"/>
          <w:lang w:val="en-US" w:eastAsia="zh-CN"/>
        </w:rPr>
      </w:pPr>
    </w:p>
    <w:p>
      <w:pPr>
        <w:numPr>
          <w:ilvl w:val="0"/>
          <w:numId w:val="0"/>
        </w:num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object>
          <v:shape id="_x0000_i1025" o:spt="75" type="#_x0000_t75" style="height:435.9pt;width:670.6pt;" o:ole="t" filled="f" o:preferrelative="t" stroked="f" coordsize="21600,21600">
            <v:path/>
            <v:fill on="f" focussize="0,0"/>
            <v:stroke on="f"/>
            <v:imagedata r:id="rId6" o:title=""/>
            <o:lock v:ext="edit" aspectratio="f"/>
            <w10:wrap type="none"/>
            <w10:anchorlock/>
          </v:shape>
          <o:OLEObject Type="Embed" ProgID="Excel.Sheet.12" ShapeID="_x0000_i1025" DrawAspect="Content" ObjectID="_1468075725" r:id="rId5">
            <o:LockedField>false</o:LockedField>
          </o:OLEObject>
        </w:object>
      </w:r>
      <w:r>
        <w:rPr>
          <w:rFonts w:hint="eastAsia" w:ascii="仿宋" w:hAnsi="仿宋" w:eastAsia="仿宋" w:cs="仿宋"/>
          <w:color w:val="auto"/>
          <w:sz w:val="32"/>
          <w:szCs w:val="32"/>
          <w:highlight w:val="none"/>
          <w:lang w:val="en-US" w:eastAsia="zh-CN"/>
        </w:rPr>
        <w:object>
          <v:shape id="_x0000_i1026" o:spt="75" type="#_x0000_t75" style="height:337.3pt;width:677.95pt;" o:ole="t" filled="f" o:preferrelative="t" stroked="f" coordsize="21600,21600">
            <v:path/>
            <v:fill on="f" focussize="0,0"/>
            <v:stroke on="f"/>
            <v:imagedata r:id="rId8" o:title=""/>
            <o:lock v:ext="edit" aspectratio="f"/>
            <w10:wrap type="none"/>
            <w10:anchorlock/>
          </v:shape>
          <o:OLEObject Type="Embed" ProgID="Excel.Sheet.12" ShapeID="_x0000_i1026" DrawAspect="Content" ObjectID="_1468075726" r:id="rId7">
            <o:LockedField>false</o:LockedField>
          </o:OLEObject>
        </w:objec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object>
          <v:shape id="_x0000_i1027" o:spt="75" type="#_x0000_t75" style="height:309.85pt;width:697.55pt;" o:ole="t" filled="f" o:preferrelative="t" stroked="f" coordsize="21600,21600">
            <v:path/>
            <v:fill on="f" focussize="0,0"/>
            <v:stroke on="f"/>
            <v:imagedata r:id="rId10" o:title=""/>
            <o:lock v:ext="edit" aspectratio="f"/>
            <w10:wrap type="none"/>
            <w10:anchorlock/>
          </v:shape>
          <o:OLEObject Type="Embed" ProgID="Excel.Sheet.12" ShapeID="_x0000_i1027" DrawAspect="Content" ObjectID="_1468075727" r:id="rId9">
            <o:LockedField>false</o:LockedField>
          </o:OLEObject>
        </w:object>
      </w:r>
    </w:p>
    <w:p>
      <w:pPr>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object>
          <v:shape id="_x0000_i1028" o:spt="75" type="#_x0000_t75" style="height:527.3pt;width:697.65pt;" o:ole="t" filled="f" o:preferrelative="t" stroked="f" coordsize="21600,21600">
            <v:path/>
            <v:fill on="f" focussize="0,0"/>
            <v:stroke on="f"/>
            <v:imagedata r:id="rId12" o:title=""/>
            <o:lock v:ext="edit" aspectratio="f"/>
            <w10:wrap type="none"/>
            <w10:anchorlock/>
          </v:shape>
          <o:OLEObject Type="Embed" ProgID="Excel.Sheet.12" ShapeID="_x0000_i1028" DrawAspect="Content" ObjectID="_1468075728" r:id="rId11">
            <o:LockedField>false</o:LockedField>
          </o:OLEObject>
        </w:object>
      </w:r>
      <w:r>
        <w:rPr>
          <w:rFonts w:hint="eastAsia" w:ascii="仿宋" w:hAnsi="仿宋" w:eastAsia="仿宋" w:cs="仿宋"/>
          <w:color w:val="auto"/>
          <w:sz w:val="32"/>
          <w:szCs w:val="32"/>
          <w:highlight w:val="none"/>
          <w:lang w:val="en-US" w:eastAsia="zh-CN"/>
        </w:rPr>
        <w:object>
          <v:shape id="_x0000_i1029" o:spt="75" type="#_x0000_t75" style="height:403.6pt;width:697.45pt;" o:ole="t" filled="f" o:preferrelative="t" stroked="f" coordsize="21600,21600">
            <v:path/>
            <v:fill on="f" focussize="0,0"/>
            <v:stroke on="f"/>
            <v:imagedata r:id="rId14" o:title=""/>
            <o:lock v:ext="edit" aspectratio="f"/>
            <w10:wrap type="none"/>
            <w10:anchorlock/>
          </v:shape>
          <o:OLEObject Type="Embed" ProgID="Excel.Sheet.12" ShapeID="_x0000_i1029" DrawAspect="Content" ObjectID="_1468075729" r:id="rId13">
            <o:LockedField>false</o:LockedField>
          </o:OLEObject>
        </w:object>
      </w:r>
      <w:r>
        <w:rPr>
          <w:rFonts w:hint="eastAsia" w:ascii="仿宋" w:hAnsi="仿宋" w:eastAsia="仿宋" w:cs="仿宋"/>
          <w:color w:val="auto"/>
          <w:sz w:val="32"/>
          <w:szCs w:val="32"/>
          <w:highlight w:val="none"/>
          <w:lang w:val="en-US" w:eastAsia="zh-CN"/>
        </w:rPr>
        <w:object>
          <v:shape id="_x0000_i1030" o:spt="75" type="#_x0000_t75" style="height:407pt;width:697.45pt;" o:ole="t" filled="f" o:preferrelative="t" stroked="f" coordsize="21600,21600">
            <v:path/>
            <v:fill on="f" focussize="0,0"/>
            <v:stroke on="f"/>
            <v:imagedata r:id="rId16" o:title=""/>
            <o:lock v:ext="edit" aspectratio="f"/>
            <w10:wrap type="none"/>
            <w10:anchorlock/>
          </v:shape>
          <o:OLEObject Type="Embed" ProgID="Excel.Sheet.12" ShapeID="_x0000_i1030" DrawAspect="Content" ObjectID="_1468075730" r:id="rId15">
            <o:LockedField>false</o:LockedField>
          </o:OLEObject>
        </w:object>
      </w:r>
      <w:r>
        <w:rPr>
          <w:rFonts w:hint="eastAsia" w:ascii="仿宋" w:hAnsi="仿宋" w:eastAsia="仿宋" w:cs="仿宋"/>
          <w:color w:val="auto"/>
          <w:sz w:val="32"/>
          <w:szCs w:val="32"/>
          <w:highlight w:val="none"/>
          <w:lang w:val="en-US" w:eastAsia="zh-CN"/>
        </w:rPr>
        <w:object>
          <v:shape id="_x0000_i1031" o:spt="75" type="#_x0000_t75" style="height:316.15pt;width:697.1pt;" o:ole="t" filled="f" o:preferrelative="t" stroked="f" coordsize="21600,21600">
            <v:path/>
            <v:fill on="f" focussize="0,0"/>
            <v:stroke on="f"/>
            <v:imagedata r:id="rId18" o:title=""/>
            <o:lock v:ext="edit" aspectratio="f"/>
            <w10:wrap type="none"/>
            <w10:anchorlock/>
          </v:shape>
          <o:OLEObject Type="Embed" ProgID="Excel.Sheet.12" ShapeID="_x0000_i1031" DrawAspect="Content" ObjectID="_1468075731" r:id="rId17">
            <o:LockedField>false</o:LockedField>
          </o:OLEObject>
        </w:object>
      </w:r>
      <w:r>
        <w:rPr>
          <w:rFonts w:hint="eastAsia" w:ascii="仿宋_GB2312" w:hAnsi="仿宋_GB2312" w:eastAsia="仿宋_GB2312" w:cs="仿宋_GB2312"/>
          <w:color w:val="auto"/>
          <w:sz w:val="24"/>
          <w:szCs w:val="24"/>
          <w:highlight w:val="none"/>
          <w:lang w:val="en-US" w:eastAsia="zh-CN"/>
        </w:rPr>
        <w:t>注：本表反应部门本年度政府性基金预算收入支出及结构和结余情况，本部门本年度无收支及结转结余情况，按要求以空表列示。</w:t>
      </w:r>
      <w:r>
        <w:rPr>
          <w:rFonts w:hint="eastAsia" w:ascii="仿宋" w:hAnsi="仿宋" w:eastAsia="仿宋" w:cs="仿宋"/>
          <w:color w:val="auto"/>
          <w:sz w:val="32"/>
          <w:szCs w:val="32"/>
          <w:highlight w:val="none"/>
          <w:lang w:val="en-US" w:eastAsia="zh-CN"/>
        </w:rPr>
        <w:object>
          <v:shape id="_x0000_i1032" o:spt="75" type="#_x0000_t75" style="height:360.7pt;width:697.75pt;" o:ole="t" filled="f" o:preferrelative="t" stroked="f" coordsize="21600,21600">
            <v:path/>
            <v:fill on="f" focussize="0,0"/>
            <v:stroke on="f"/>
            <v:imagedata r:id="rId20" o:title=""/>
            <o:lock v:ext="edit" aspectratio="f"/>
            <w10:wrap type="none"/>
            <w10:anchorlock/>
          </v:shape>
          <o:OLEObject Type="Embed" ProgID="Excel.Sheet.12" ShapeID="_x0000_i1032" DrawAspect="Content" ObjectID="_1468075732" r:id="rId19">
            <o:LockedField>false</o:LockedField>
          </o:OLEObject>
        </w:object>
      </w:r>
      <w:r>
        <w:rPr>
          <w:rFonts w:hint="eastAsia" w:ascii="仿宋_GB2312" w:hAnsi="仿宋_GB2312" w:eastAsia="仿宋_GB2312" w:cs="仿宋_GB2312"/>
          <w:color w:val="auto"/>
          <w:sz w:val="24"/>
          <w:szCs w:val="24"/>
          <w:highlight w:val="none"/>
          <w:lang w:val="en-US" w:eastAsia="zh-CN"/>
        </w:rPr>
        <w:t>注：本表反应部门本年度国有资本经营情况，本部门本年度无国有资本经营情况，按要求以空表列示。</w:t>
      </w:r>
      <w:r>
        <w:rPr>
          <w:rFonts w:hint="eastAsia" w:ascii="仿宋" w:hAnsi="仿宋" w:eastAsia="仿宋" w:cs="仿宋"/>
          <w:color w:val="auto"/>
          <w:sz w:val="32"/>
          <w:szCs w:val="32"/>
          <w:highlight w:val="none"/>
          <w:lang w:val="en-US" w:eastAsia="zh-CN"/>
        </w:rPr>
        <w:object>
          <v:shape id="_x0000_i1033" o:spt="75" type="#_x0000_t75" style="height:362.15pt;width:697.75pt;" o:ole="t" filled="f" o:preferrelative="t" stroked="f" coordsize="21600,21600">
            <v:path/>
            <v:fill on="f" focussize="0,0"/>
            <v:stroke on="f"/>
            <v:imagedata r:id="rId22" o:title=""/>
            <o:lock v:ext="edit" aspectratio="f"/>
            <w10:wrap type="none"/>
            <w10:anchorlock/>
          </v:shape>
          <o:OLEObject Type="Embed" ProgID="Excel.Sheet.12" ShapeID="_x0000_i1033" DrawAspect="Content" ObjectID="_1468075733" r:id="rId21">
            <o:LockedField>false</o:LockedField>
          </o:OLEObject>
        </w:object>
      </w:r>
      <w:r>
        <w:rPr>
          <w:rFonts w:hint="eastAsia" w:ascii="仿宋" w:hAnsi="仿宋" w:eastAsia="仿宋" w:cs="仿宋"/>
          <w:color w:val="auto"/>
          <w:sz w:val="32"/>
          <w:szCs w:val="32"/>
          <w:highlight w:val="none"/>
          <w:lang w:val="en-US" w:eastAsia="zh-CN"/>
        </w:rPr>
        <w:object>
          <v:shape id="_x0000_i1034" o:spt="75" type="#_x0000_t75" style="height:313.7pt;width:697.2pt;" o:ole="t" filled="f" o:preferrelative="t" stroked="f" coordsize="21600,21600">
            <v:path/>
            <v:fill on="f" focussize="0,0"/>
            <v:stroke on="f"/>
            <v:imagedata r:id="rId24" o:title=""/>
            <o:lock v:ext="edit" aspectratio="f"/>
            <w10:wrap type="none"/>
            <w10:anchorlock/>
          </v:shape>
          <o:OLEObject Type="Embed" ProgID="Excel.Sheet.12" ShapeID="_x0000_i1034" DrawAspect="Content" ObjectID="_1468075734" r:id="rId23">
            <o:LockedField>false</o:LockedField>
          </o:OLEObject>
        </w:object>
      </w:r>
    </w:p>
    <w:p>
      <w:pPr>
        <w:jc w:val="left"/>
        <w:rPr>
          <w:rFonts w:hint="eastAsia" w:ascii="仿宋" w:hAnsi="仿宋" w:eastAsia="仿宋" w:cs="仿宋"/>
          <w:color w:val="auto"/>
          <w:sz w:val="32"/>
          <w:szCs w:val="32"/>
          <w:highlight w:val="none"/>
          <w:lang w:val="en-US" w:eastAsia="zh-CN"/>
        </w:rPr>
        <w:sectPr>
          <w:footerReference r:id="rId3" w:type="default"/>
          <w:pgSz w:w="16838" w:h="11906" w:orient="landscape"/>
          <w:pgMar w:top="1803" w:right="1440" w:bottom="1803" w:left="1440" w:header="851" w:footer="992" w:gutter="0"/>
          <w:pgNumType w:fmt="decimal" w:start="1"/>
          <w:cols w:space="0" w:num="1"/>
          <w:rtlGutter w:val="0"/>
          <w:docGrid w:type="lines" w:linePitch="312" w:charSpace="0"/>
        </w:sectPr>
      </w:pPr>
      <w:r>
        <w:rPr>
          <w:rFonts w:hint="eastAsia" w:ascii="仿宋_GB2312" w:hAnsi="仿宋_GB2312" w:eastAsia="仿宋_GB2312" w:cs="仿宋_GB2312"/>
          <w:color w:val="auto"/>
          <w:sz w:val="24"/>
          <w:szCs w:val="24"/>
          <w:highlight w:val="none"/>
          <w:lang w:val="en-US" w:eastAsia="zh-CN"/>
        </w:rPr>
        <w:t>注：本表反应部门本年度政府采购情况，本部门本年度无政府采购情况，按要求以空表列示。</w:t>
      </w:r>
    </w:p>
    <w:p>
      <w:pPr>
        <w:rPr>
          <w:rFonts w:hint="eastAsia" w:ascii="仿宋" w:hAnsi="仿宋" w:eastAsia="仿宋" w:cs="仿宋"/>
          <w:color w:val="auto"/>
          <w:sz w:val="32"/>
          <w:szCs w:val="32"/>
          <w:highlight w:val="none"/>
          <w:lang w:val="en-US" w:eastAsia="zh-CN"/>
        </w:rPr>
      </w:pPr>
    </w:p>
    <w:p>
      <w:pPr>
        <w:rPr>
          <w:rFonts w:hint="eastAsia" w:ascii="黑体" w:hAnsi="黑体" w:eastAsia="黑体" w:cs="黑体"/>
          <w:b/>
          <w:bCs/>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黑体" w:hAnsi="黑体" w:eastAsia="黑体" w:cs="黑体"/>
          <w:b/>
          <w:bCs/>
          <w:color w:val="auto"/>
          <w:sz w:val="32"/>
          <w:szCs w:val="32"/>
          <w:highlight w:val="none"/>
        </w:rPr>
        <w:t>第</w:t>
      </w:r>
      <w:r>
        <w:rPr>
          <w:rFonts w:hint="eastAsia" w:ascii="黑体" w:hAnsi="黑体" w:eastAsia="黑体" w:cs="黑体"/>
          <w:b/>
          <w:bCs/>
          <w:color w:val="auto"/>
          <w:sz w:val="32"/>
          <w:szCs w:val="32"/>
          <w:highlight w:val="none"/>
          <w:lang w:val="en-US" w:eastAsia="zh-CN"/>
        </w:rPr>
        <w:t>三</w:t>
      </w:r>
      <w:r>
        <w:rPr>
          <w:rFonts w:hint="eastAsia" w:ascii="黑体" w:hAnsi="黑体" w:eastAsia="黑体" w:cs="黑体"/>
          <w:b/>
          <w:bCs/>
          <w:color w:val="auto"/>
          <w:sz w:val="32"/>
          <w:szCs w:val="32"/>
          <w:highlight w:val="none"/>
        </w:rPr>
        <w:t xml:space="preserve">部分 </w:t>
      </w:r>
      <w:r>
        <w:rPr>
          <w:rFonts w:hint="eastAsia" w:ascii="黑体" w:hAnsi="黑体" w:eastAsia="黑体" w:cs="黑体"/>
          <w:b/>
          <w:bCs/>
          <w:color w:val="auto"/>
          <w:sz w:val="32"/>
          <w:szCs w:val="32"/>
          <w:highlight w:val="none"/>
          <w:lang w:val="en-US" w:eastAsia="zh-CN"/>
        </w:rPr>
        <w:t>内丘县机构编制委员会办公室</w:t>
      </w:r>
      <w:r>
        <w:rPr>
          <w:rFonts w:hint="eastAsia" w:ascii="黑体" w:hAnsi="黑体" w:eastAsia="黑体" w:cs="黑体"/>
          <w:b/>
          <w:bCs/>
          <w:color w:val="auto"/>
          <w:sz w:val="32"/>
          <w:szCs w:val="32"/>
          <w:highlight w:val="none"/>
        </w:rPr>
        <w:t>201</w:t>
      </w:r>
      <w:r>
        <w:rPr>
          <w:rFonts w:hint="eastAsia" w:ascii="黑体" w:hAnsi="黑体" w:eastAsia="黑体" w:cs="黑体"/>
          <w:b/>
          <w:bCs/>
          <w:color w:val="auto"/>
          <w:sz w:val="32"/>
          <w:szCs w:val="32"/>
          <w:highlight w:val="none"/>
          <w:lang w:val="en-US" w:eastAsia="zh-CN"/>
        </w:rPr>
        <w:t>7</w:t>
      </w:r>
      <w:r>
        <w:rPr>
          <w:rFonts w:hint="eastAsia" w:ascii="黑体" w:hAnsi="黑体" w:eastAsia="黑体" w:cs="黑体"/>
          <w:b/>
          <w:bCs/>
          <w:color w:val="auto"/>
          <w:sz w:val="32"/>
          <w:szCs w:val="32"/>
          <w:highlight w:val="none"/>
        </w:rPr>
        <w:t xml:space="preserve">年度部门决算情况说明 </w:t>
      </w:r>
    </w:p>
    <w:p>
      <w:pPr>
        <w:ind w:firstLine="64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一、 </w:t>
      </w:r>
      <w:r>
        <w:rPr>
          <w:rFonts w:hint="eastAsia" w:ascii="仿宋" w:hAnsi="仿宋" w:eastAsia="仿宋" w:cs="仿宋"/>
          <w:b/>
          <w:bCs/>
          <w:color w:val="auto"/>
          <w:sz w:val="32"/>
          <w:szCs w:val="32"/>
          <w:highlight w:val="none"/>
          <w:lang w:val="en-US" w:eastAsia="zh-CN"/>
        </w:rPr>
        <w:t>收入支出决算总体情况说明</w:t>
      </w:r>
      <w:r>
        <w:rPr>
          <w:rFonts w:hint="eastAsia" w:ascii="仿宋" w:hAnsi="仿宋" w:eastAsia="仿宋" w:cs="仿宋"/>
          <w:color w:val="auto"/>
          <w:sz w:val="32"/>
          <w:szCs w:val="32"/>
          <w:highlight w:val="none"/>
        </w:rPr>
        <w:t xml:space="preserve"> </w:t>
      </w:r>
    </w:p>
    <w:p>
      <w:pPr>
        <w:ind w:firstLine="640" w:firstLineChars="200"/>
        <w:rPr>
          <w:rFonts w:hint="eastAsia" w:ascii="仿宋_GB2312" w:hAnsi="仿宋" w:eastAsia="仿宋_GB2312"/>
          <w:color w:val="auto"/>
          <w:sz w:val="32"/>
          <w:szCs w:val="32"/>
          <w:highlight w:val="none"/>
          <w:u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 xml:space="preserve">年度收入总计 </w:t>
      </w:r>
      <w:r>
        <w:rPr>
          <w:rFonts w:hint="eastAsia" w:ascii="仿宋_GB2312" w:hAnsi="仿宋_GB2312" w:eastAsia="仿宋_GB2312" w:cs="仿宋_GB2312"/>
          <w:color w:val="auto"/>
          <w:sz w:val="32"/>
          <w:szCs w:val="32"/>
          <w:highlight w:val="none"/>
          <w:lang w:val="en-US" w:eastAsia="zh-CN"/>
        </w:rPr>
        <w:t>116.69</w:t>
      </w:r>
      <w:r>
        <w:rPr>
          <w:rFonts w:hint="eastAsia" w:ascii="仿宋_GB2312" w:hAnsi="仿宋_GB2312" w:eastAsia="仿宋_GB2312" w:cs="仿宋_GB2312"/>
          <w:color w:val="auto"/>
          <w:sz w:val="32"/>
          <w:szCs w:val="32"/>
          <w:highlight w:val="none"/>
        </w:rPr>
        <w:t xml:space="preserve">万元，支出总计 </w:t>
      </w:r>
      <w:r>
        <w:rPr>
          <w:rFonts w:hint="eastAsia" w:ascii="仿宋_GB2312" w:hAnsi="仿宋_GB2312" w:eastAsia="仿宋_GB2312" w:cs="仿宋_GB2312"/>
          <w:color w:val="auto"/>
          <w:sz w:val="32"/>
          <w:szCs w:val="32"/>
          <w:highlight w:val="none"/>
          <w:lang w:val="en-US" w:eastAsia="zh-CN"/>
        </w:rPr>
        <w:t>115.51</w:t>
      </w:r>
      <w:r>
        <w:rPr>
          <w:rFonts w:hint="eastAsia" w:ascii="仿宋_GB2312" w:hAnsi="仿宋_GB2312" w:eastAsia="仿宋_GB2312" w:cs="仿宋_GB2312"/>
          <w:color w:val="auto"/>
          <w:sz w:val="32"/>
          <w:szCs w:val="32"/>
          <w:highlight w:val="none"/>
        </w:rPr>
        <w:t xml:space="preserve"> 万元。与 201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年相比，收</w:t>
      </w:r>
      <w:r>
        <w:rPr>
          <w:rFonts w:hint="eastAsia" w:ascii="仿宋_GB2312" w:hAnsi="仿宋_GB2312" w:eastAsia="仿宋_GB2312" w:cs="仿宋_GB2312"/>
          <w:color w:val="auto"/>
          <w:sz w:val="32"/>
          <w:szCs w:val="32"/>
          <w:highlight w:val="none"/>
          <w:lang w:val="en-US" w:eastAsia="zh-CN"/>
        </w:rPr>
        <w:t>入</w:t>
      </w:r>
      <w:r>
        <w:rPr>
          <w:rFonts w:hint="eastAsia" w:ascii="仿宋_GB2312" w:hAnsi="仿宋_GB2312" w:eastAsia="仿宋_GB2312" w:cs="仿宋_GB2312"/>
          <w:color w:val="auto"/>
          <w:sz w:val="32"/>
          <w:szCs w:val="32"/>
          <w:highlight w:val="none"/>
        </w:rPr>
        <w:t>总计增加</w:t>
      </w:r>
      <w:r>
        <w:rPr>
          <w:rFonts w:hint="eastAsia" w:ascii="仿宋_GB2312" w:hAnsi="仿宋_GB2312" w:eastAsia="仿宋_GB2312" w:cs="仿宋_GB2312"/>
          <w:color w:val="auto"/>
          <w:sz w:val="32"/>
          <w:szCs w:val="32"/>
          <w:highlight w:val="none"/>
          <w:u w:val="none"/>
          <w:lang w:val="en-US" w:eastAsia="zh-CN"/>
        </w:rPr>
        <w:t>42.31</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支出增加40.83万元。收支增加原因是2017年新增2名工作人员和调资等因素以及</w:t>
      </w:r>
      <w:r>
        <w:rPr>
          <w:rFonts w:hint="eastAsia" w:ascii="仿宋_GB2312" w:hAnsi="仿宋" w:eastAsia="仿宋_GB2312"/>
          <w:color w:val="auto"/>
          <w:sz w:val="32"/>
          <w:szCs w:val="32"/>
          <w:highlight w:val="none"/>
          <w:u w:val="none"/>
          <w:lang w:val="en-US" w:eastAsia="zh-CN"/>
        </w:rPr>
        <w:t>中文域名注册管理费纳入财政预算管理，项目支出相应增加。</w:t>
      </w:r>
    </w:p>
    <w:p>
      <w:pPr>
        <w:rPr>
          <w:rFonts w:hint="eastAsia" w:ascii="仿宋" w:hAnsi="仿宋" w:eastAsia="仿宋" w:cs="仿宋"/>
          <w:b/>
          <w:bCs/>
          <w:color w:val="auto"/>
          <w:sz w:val="32"/>
          <w:szCs w:val="32"/>
          <w:highlight w:val="none"/>
          <w:u w:val="none"/>
        </w:rPr>
      </w:pP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sz w:val="32"/>
          <w:szCs w:val="32"/>
          <w:highlight w:val="none"/>
          <w:u w:val="none"/>
          <w:lang w:val="en-US" w:eastAsia="zh-CN"/>
        </w:rPr>
        <w:t xml:space="preserve">  </w:t>
      </w:r>
      <w:r>
        <w:rPr>
          <w:rFonts w:hint="eastAsia" w:ascii="仿宋" w:hAnsi="仿宋" w:eastAsia="仿宋" w:cs="仿宋"/>
          <w:b/>
          <w:bCs/>
          <w:color w:val="auto"/>
          <w:sz w:val="32"/>
          <w:szCs w:val="32"/>
          <w:highlight w:val="none"/>
          <w:u w:val="none"/>
          <w:lang w:val="en-US" w:eastAsia="zh-CN"/>
        </w:rPr>
        <w:t xml:space="preserve"> 二、</w:t>
      </w:r>
      <w:r>
        <w:rPr>
          <w:rFonts w:hint="eastAsia" w:ascii="仿宋" w:hAnsi="仿宋" w:eastAsia="仿宋" w:cs="仿宋"/>
          <w:b/>
          <w:bCs/>
          <w:color w:val="auto"/>
          <w:sz w:val="32"/>
          <w:szCs w:val="32"/>
          <w:highlight w:val="none"/>
          <w:u w:val="none"/>
        </w:rPr>
        <w:t>收入</w:t>
      </w:r>
      <w:r>
        <w:rPr>
          <w:rFonts w:hint="eastAsia" w:ascii="仿宋" w:hAnsi="仿宋" w:eastAsia="仿宋" w:cs="仿宋"/>
          <w:b/>
          <w:bCs/>
          <w:color w:val="auto"/>
          <w:sz w:val="32"/>
          <w:szCs w:val="32"/>
          <w:highlight w:val="none"/>
          <w:u w:val="none"/>
          <w:lang w:val="en-US" w:eastAsia="zh-CN"/>
        </w:rPr>
        <w:t>决算情况说明</w:t>
      </w:r>
    </w:p>
    <w:p>
      <w:pPr>
        <w:rPr>
          <w:rFonts w:hint="eastAsia" w:ascii="仿宋_GB2312" w:hAnsi="仿宋_GB2312" w:eastAsia="仿宋_GB2312" w:cs="仿宋_GB2312"/>
          <w:color w:val="auto"/>
          <w:sz w:val="32"/>
          <w:szCs w:val="32"/>
          <w:highlight w:val="none"/>
          <w:u w:val="none"/>
        </w:rPr>
      </w:pPr>
      <w:r>
        <w:rPr>
          <w:rFonts w:hint="eastAsia" w:ascii="仿宋" w:hAnsi="仿宋" w:eastAsia="仿宋" w:cs="仿宋"/>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201</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 xml:space="preserve">年本年收入合计 </w:t>
      </w:r>
      <w:r>
        <w:rPr>
          <w:rFonts w:hint="eastAsia" w:ascii="仿宋_GB2312" w:hAnsi="仿宋_GB2312" w:eastAsia="仿宋_GB2312" w:cs="仿宋_GB2312"/>
          <w:color w:val="auto"/>
          <w:sz w:val="32"/>
          <w:szCs w:val="32"/>
          <w:highlight w:val="none"/>
          <w:u w:val="none"/>
          <w:lang w:val="en-US" w:eastAsia="zh-CN"/>
        </w:rPr>
        <w:t>116.69</w:t>
      </w:r>
      <w:r>
        <w:rPr>
          <w:rFonts w:hint="eastAsia" w:ascii="仿宋_GB2312" w:hAnsi="仿宋_GB2312" w:eastAsia="仿宋_GB2312" w:cs="仿宋_GB2312"/>
          <w:color w:val="auto"/>
          <w:sz w:val="32"/>
          <w:szCs w:val="32"/>
          <w:highlight w:val="none"/>
          <w:u w:val="none"/>
        </w:rPr>
        <w:t>万元，具体</w:t>
      </w:r>
      <w:r>
        <w:rPr>
          <w:rFonts w:hint="eastAsia" w:ascii="仿宋_GB2312" w:hAnsi="仿宋_GB2312" w:eastAsia="仿宋_GB2312" w:cs="仿宋_GB2312"/>
          <w:color w:val="auto"/>
          <w:sz w:val="32"/>
          <w:szCs w:val="32"/>
          <w:highlight w:val="none"/>
          <w:u w:val="none"/>
          <w:lang w:val="en-US" w:eastAsia="zh-CN"/>
        </w:rPr>
        <w:t>情况如下：行政运行收入103.12万元，占88.37%，一般行政管理事务收入13.57万元，占11.63%。</w:t>
      </w:r>
    </w:p>
    <w:p>
      <w:pPr>
        <w:rPr>
          <w:rFonts w:hint="eastAsia" w:ascii="仿宋" w:hAnsi="仿宋" w:eastAsia="仿宋" w:cs="仿宋"/>
          <w:b/>
          <w:bCs/>
          <w:color w:val="auto"/>
          <w:sz w:val="32"/>
          <w:szCs w:val="32"/>
          <w:highlight w:val="none"/>
          <w:u w:val="none"/>
        </w:rPr>
      </w:pPr>
      <w:r>
        <w:rPr>
          <w:rFonts w:hint="eastAsia" w:ascii="仿宋" w:hAnsi="仿宋" w:eastAsia="仿宋" w:cs="仿宋"/>
          <w:color w:val="auto"/>
          <w:sz w:val="32"/>
          <w:szCs w:val="32"/>
          <w:highlight w:val="none"/>
          <w:u w:val="none"/>
          <w:lang w:val="en-US" w:eastAsia="zh-CN"/>
        </w:rPr>
        <w:t xml:space="preserve">    三、</w:t>
      </w:r>
      <w:r>
        <w:rPr>
          <w:rFonts w:hint="eastAsia" w:ascii="仿宋" w:hAnsi="仿宋" w:eastAsia="仿宋" w:cs="仿宋"/>
          <w:b/>
          <w:bCs/>
          <w:color w:val="auto"/>
          <w:sz w:val="32"/>
          <w:szCs w:val="32"/>
          <w:highlight w:val="none"/>
          <w:u w:val="none"/>
        </w:rPr>
        <w:t>支出</w:t>
      </w:r>
      <w:r>
        <w:rPr>
          <w:rFonts w:hint="eastAsia" w:ascii="仿宋" w:hAnsi="仿宋" w:eastAsia="仿宋" w:cs="仿宋"/>
          <w:b/>
          <w:bCs/>
          <w:color w:val="auto"/>
          <w:sz w:val="32"/>
          <w:szCs w:val="32"/>
          <w:highlight w:val="none"/>
          <w:u w:val="none"/>
          <w:lang w:val="en-US" w:eastAsia="zh-CN"/>
        </w:rPr>
        <w:t>决算情况说明</w:t>
      </w:r>
      <w:r>
        <w:rPr>
          <w:rFonts w:hint="eastAsia" w:ascii="仿宋" w:hAnsi="仿宋" w:eastAsia="仿宋" w:cs="仿宋"/>
          <w:b/>
          <w:bCs/>
          <w:color w:val="auto"/>
          <w:sz w:val="32"/>
          <w:szCs w:val="32"/>
          <w:highlight w:val="none"/>
          <w:u w:val="none"/>
        </w:rPr>
        <w:t xml:space="preserve"> </w:t>
      </w:r>
    </w:p>
    <w:p>
      <w:pPr>
        <w:rPr>
          <w:rFonts w:hint="eastAsia" w:ascii="仿宋_GB2312" w:hAnsi="仿宋_GB2312" w:eastAsia="仿宋_GB2312" w:cs="仿宋_GB2312"/>
          <w:color w:val="auto"/>
          <w:sz w:val="32"/>
          <w:szCs w:val="32"/>
          <w:highlight w:val="none"/>
          <w:u w:val="none"/>
        </w:rPr>
      </w:pPr>
      <w:r>
        <w:rPr>
          <w:rFonts w:hint="eastAsia" w:ascii="仿宋" w:hAnsi="仿宋" w:eastAsia="仿宋" w:cs="仿宋"/>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 xml:space="preserve"> 2017</w:t>
      </w:r>
      <w:r>
        <w:rPr>
          <w:rFonts w:hint="eastAsia" w:ascii="仿宋_GB2312" w:hAnsi="仿宋_GB2312" w:eastAsia="仿宋_GB2312" w:cs="仿宋_GB2312"/>
          <w:color w:val="auto"/>
          <w:sz w:val="32"/>
          <w:szCs w:val="32"/>
          <w:highlight w:val="none"/>
          <w:u w:val="none"/>
        </w:rPr>
        <w:t xml:space="preserve">年支出总计 </w:t>
      </w:r>
      <w:r>
        <w:rPr>
          <w:rFonts w:hint="eastAsia" w:ascii="仿宋_GB2312" w:hAnsi="仿宋_GB2312" w:eastAsia="仿宋_GB2312" w:cs="仿宋_GB2312"/>
          <w:color w:val="auto"/>
          <w:sz w:val="32"/>
          <w:szCs w:val="32"/>
          <w:highlight w:val="none"/>
          <w:u w:val="none"/>
          <w:lang w:val="en-US" w:eastAsia="zh-CN"/>
        </w:rPr>
        <w:t>115.51</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highlight w:val="none"/>
          <w:u w:val="none"/>
          <w:lang w:val="en-US" w:eastAsia="zh-CN"/>
        </w:rPr>
        <w:t>具体支出情况如下：（1）、基本支出102.93万元，占89.11%，其中人员支出91万元，日常公用支出11.93万元。（2）、项目支出——行政事业类支出12.58万元，占10.89%。</w:t>
      </w:r>
    </w:p>
    <w:p>
      <w:pPr>
        <w:numPr>
          <w:ilvl w:val="0"/>
          <w:numId w:val="0"/>
        </w:numPr>
        <w:ind w:firstLine="643" w:firstLineChars="200"/>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四、财政拨款收入支出决算情况说明</w:t>
      </w:r>
    </w:p>
    <w:p>
      <w:p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2017年我单位财政拨款收入116.69万元，其中一般公共预算财政拨款116.69万元。 2017年财政拨款支出115.51万元，</w:t>
      </w:r>
      <w:r>
        <w:rPr>
          <w:rFonts w:hint="eastAsia" w:ascii="仿宋_GB2312" w:hAnsi="仿宋" w:eastAsia="仿宋_GB2312"/>
          <w:color w:val="auto"/>
          <w:sz w:val="32"/>
          <w:szCs w:val="32"/>
          <w:highlight w:val="none"/>
          <w:u w:val="none"/>
        </w:rPr>
        <w:t>年初预算为</w:t>
      </w:r>
      <w:r>
        <w:rPr>
          <w:rFonts w:hint="eastAsia" w:ascii="仿宋_GB2312" w:hAnsi="仿宋" w:eastAsia="仿宋_GB2312"/>
          <w:color w:val="auto"/>
          <w:sz w:val="32"/>
          <w:szCs w:val="32"/>
          <w:highlight w:val="none"/>
          <w:u w:val="none"/>
          <w:lang w:val="en-US" w:eastAsia="zh-CN"/>
        </w:rPr>
        <w:t>92.65</w:t>
      </w:r>
      <w:r>
        <w:rPr>
          <w:rFonts w:hint="eastAsia" w:ascii="仿宋_GB2312" w:hAnsi="仿宋" w:eastAsia="仿宋_GB2312"/>
          <w:color w:val="auto"/>
          <w:sz w:val="32"/>
          <w:szCs w:val="32"/>
          <w:highlight w:val="none"/>
          <w:u w:val="none"/>
        </w:rPr>
        <w:t>万元</w:t>
      </w:r>
      <w:r>
        <w:rPr>
          <w:rFonts w:hint="eastAsia" w:ascii="仿宋_GB2312" w:hAnsi="仿宋" w:eastAsia="仿宋_GB2312"/>
          <w:color w:val="auto"/>
          <w:sz w:val="32"/>
          <w:szCs w:val="32"/>
          <w:highlight w:val="none"/>
          <w:u w:val="none"/>
          <w:lang w:eastAsia="zh-CN"/>
        </w:rPr>
        <w:t>，</w:t>
      </w:r>
      <w:r>
        <w:rPr>
          <w:rFonts w:hint="eastAsia" w:ascii="仿宋_GB2312" w:hAnsi="仿宋" w:eastAsia="仿宋_GB2312"/>
          <w:color w:val="auto"/>
          <w:sz w:val="32"/>
          <w:szCs w:val="32"/>
          <w:highlight w:val="none"/>
          <w:u w:val="none"/>
        </w:rPr>
        <w:t>占年初预算的</w:t>
      </w:r>
      <w:r>
        <w:rPr>
          <w:rFonts w:hint="eastAsia" w:ascii="仿宋_GB2312" w:hAnsi="仿宋" w:eastAsia="仿宋_GB2312"/>
          <w:color w:val="auto"/>
          <w:sz w:val="32"/>
          <w:szCs w:val="32"/>
          <w:highlight w:val="none"/>
          <w:u w:val="none"/>
          <w:lang w:val="en-US" w:eastAsia="zh-CN"/>
        </w:rPr>
        <w:t xml:space="preserve">124.67 </w:t>
      </w:r>
      <w:r>
        <w:rPr>
          <w:rFonts w:hint="eastAsia" w:ascii="仿宋_GB2312" w:hAnsi="仿宋" w:eastAsia="仿宋_GB2312"/>
          <w:color w:val="auto"/>
          <w:sz w:val="32"/>
          <w:szCs w:val="32"/>
          <w:highlight w:val="none"/>
          <w:u w:val="none"/>
        </w:rPr>
        <w:t>%</w:t>
      </w:r>
      <w:r>
        <w:rPr>
          <w:rFonts w:hint="eastAsia" w:ascii="仿宋_GB2312" w:hAnsi="仿宋" w:eastAsia="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年初财政拨款无结转结余，年末财政拨款结转结余1.18万元。</w:t>
      </w:r>
      <w:r>
        <w:rPr>
          <w:rFonts w:hint="eastAsia" w:ascii="仿宋_GB2312" w:hAnsi="仿宋" w:eastAsia="仿宋_GB2312"/>
          <w:color w:val="auto"/>
          <w:sz w:val="32"/>
          <w:szCs w:val="32"/>
          <w:highlight w:val="none"/>
          <w:u w:val="none"/>
        </w:rPr>
        <w:t>与2016年</w:t>
      </w:r>
      <w:r>
        <w:rPr>
          <w:rFonts w:hint="eastAsia" w:ascii="仿宋_GB2312" w:hAnsi="仿宋" w:eastAsia="仿宋_GB2312"/>
          <w:color w:val="auto"/>
          <w:sz w:val="32"/>
          <w:szCs w:val="32"/>
          <w:highlight w:val="none"/>
          <w:u w:val="none"/>
          <w:lang w:val="en-US" w:eastAsia="zh-CN"/>
        </w:rPr>
        <w:t>74.68万元</w:t>
      </w:r>
      <w:r>
        <w:rPr>
          <w:rFonts w:hint="eastAsia" w:ascii="仿宋_GB2312" w:hAnsi="仿宋" w:eastAsia="仿宋_GB2312"/>
          <w:color w:val="auto"/>
          <w:sz w:val="32"/>
          <w:szCs w:val="32"/>
          <w:highlight w:val="none"/>
          <w:u w:val="none"/>
        </w:rPr>
        <w:t>相比，财政拨款支出</w:t>
      </w:r>
      <w:r>
        <w:rPr>
          <w:rFonts w:hint="eastAsia" w:ascii="仿宋_GB2312" w:hAnsi="仿宋" w:eastAsia="仿宋_GB2312"/>
          <w:color w:val="auto"/>
          <w:sz w:val="32"/>
          <w:szCs w:val="32"/>
          <w:highlight w:val="none"/>
          <w:u w:val="none"/>
          <w:lang w:val="en-US" w:eastAsia="zh-CN"/>
        </w:rPr>
        <w:t>增加40.83万</w:t>
      </w:r>
      <w:r>
        <w:rPr>
          <w:rFonts w:hint="eastAsia" w:ascii="仿宋_GB2312" w:hAnsi="仿宋" w:eastAsia="仿宋_GB2312"/>
          <w:color w:val="auto"/>
          <w:sz w:val="32"/>
          <w:szCs w:val="32"/>
          <w:highlight w:val="none"/>
          <w:u w:val="none"/>
        </w:rPr>
        <w:t>元，</w:t>
      </w:r>
      <w:r>
        <w:rPr>
          <w:rFonts w:hint="eastAsia" w:ascii="仿宋_GB2312" w:hAnsi="仿宋" w:eastAsia="仿宋_GB2312"/>
          <w:color w:val="auto"/>
          <w:sz w:val="32"/>
          <w:szCs w:val="32"/>
          <w:highlight w:val="none"/>
          <w:u w:val="none"/>
          <w:lang w:val="en-US" w:eastAsia="zh-CN"/>
        </w:rPr>
        <w:t>增</w:t>
      </w:r>
      <w:r>
        <w:rPr>
          <w:rFonts w:hint="eastAsia" w:ascii="仿宋_GB2312" w:hAnsi="仿宋" w:eastAsia="仿宋_GB2312"/>
          <w:color w:val="auto"/>
          <w:sz w:val="32"/>
          <w:szCs w:val="32"/>
          <w:highlight w:val="none"/>
          <w:u w:val="none"/>
        </w:rPr>
        <w:t>幅</w:t>
      </w:r>
      <w:r>
        <w:rPr>
          <w:rFonts w:hint="eastAsia" w:ascii="仿宋_GB2312" w:hAnsi="仿宋" w:eastAsia="仿宋_GB2312"/>
          <w:color w:val="auto"/>
          <w:sz w:val="32"/>
          <w:szCs w:val="32"/>
          <w:highlight w:val="none"/>
          <w:u w:val="none"/>
          <w:lang w:val="en-US" w:eastAsia="zh-CN"/>
        </w:rPr>
        <w:t xml:space="preserve">54.67 </w:t>
      </w:r>
      <w:r>
        <w:rPr>
          <w:rFonts w:hint="eastAsia" w:ascii="仿宋_GB2312" w:hAnsi="仿宋" w:eastAsia="仿宋_GB2312"/>
          <w:color w:val="auto"/>
          <w:sz w:val="32"/>
          <w:szCs w:val="32"/>
          <w:highlight w:val="none"/>
          <w:u w:val="none"/>
        </w:rPr>
        <w:t>%。主要原</w:t>
      </w:r>
      <w:r>
        <w:rPr>
          <w:rFonts w:hint="eastAsia" w:ascii="仿宋_GB2312" w:hAnsi="仿宋" w:eastAsia="仿宋_GB2312"/>
          <w:color w:val="auto"/>
          <w:sz w:val="32"/>
          <w:szCs w:val="32"/>
          <w:highlight w:val="none"/>
          <w:u w:val="none"/>
          <w:lang w:val="en-US" w:eastAsia="zh-CN"/>
        </w:rPr>
        <w:t>因是：调入2名工作人员，工资福利等支出相应增加和调资等因素以及中文域名注册管理费纳入财政预算管理，项目支出相应增加。</w:t>
      </w:r>
    </w:p>
    <w:p>
      <w:pPr>
        <w:numPr>
          <w:ilvl w:val="0"/>
          <w:numId w:val="0"/>
        </w:numPr>
        <w:ind w:firstLine="643" w:firstLineChars="200"/>
        <w:rPr>
          <w:rFonts w:hint="eastAsia" w:ascii="仿宋" w:hAnsi="仿宋" w:eastAsia="仿宋" w:cs="仿宋"/>
          <w:b/>
          <w:bCs/>
          <w:color w:val="auto"/>
          <w:kern w:val="0"/>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五、</w:t>
      </w:r>
      <w:r>
        <w:rPr>
          <w:rFonts w:hint="eastAsia" w:ascii="仿宋" w:hAnsi="仿宋" w:eastAsia="仿宋" w:cs="仿宋"/>
          <w:b/>
          <w:bCs/>
          <w:color w:val="auto"/>
          <w:sz w:val="32"/>
          <w:szCs w:val="32"/>
          <w:highlight w:val="none"/>
          <w:u w:val="none"/>
        </w:rPr>
        <w:t>“三公”经费支出决算情况</w:t>
      </w:r>
      <w:r>
        <w:rPr>
          <w:rFonts w:hint="eastAsia" w:ascii="仿宋" w:hAnsi="仿宋" w:eastAsia="仿宋" w:cs="仿宋"/>
          <w:b/>
          <w:bCs/>
          <w:color w:val="auto"/>
          <w:sz w:val="32"/>
          <w:szCs w:val="32"/>
          <w:highlight w:val="none"/>
          <w:u w:val="none"/>
          <w:lang w:val="en-US" w:eastAsia="zh-CN"/>
        </w:rPr>
        <w:t>说明</w:t>
      </w:r>
    </w:p>
    <w:p>
      <w:pPr>
        <w:numPr>
          <w:ilvl w:val="0"/>
          <w:numId w:val="0"/>
        </w:numPr>
        <w:ind w:firstLine="640"/>
        <w:rPr>
          <w:rFonts w:hint="eastAsia"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highlight w:val="none"/>
          <w:u w:val="single"/>
          <w:lang w:val="en-US" w:eastAsia="zh-CN"/>
        </w:rPr>
        <w:t>2017年三公经费支出总计2.22万元。其中招待费支出0.22万元，公车运行维护费支出2万元。</w:t>
      </w:r>
    </w:p>
    <w:p>
      <w:pPr>
        <w:numPr>
          <w:ilvl w:val="0"/>
          <w:numId w:val="0"/>
        </w:numPr>
        <w:ind w:firstLine="640"/>
        <w:rPr>
          <w:rFonts w:hint="eastAsia" w:ascii="仿宋_GB2312" w:hAnsi="仿宋_GB2312" w:eastAsia="仿宋_GB2312" w:cs="仿宋_GB2312"/>
          <w:b w:val="0"/>
          <w:bCs w:val="0"/>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b w:val="0"/>
          <w:bCs w:val="0"/>
          <w:color w:val="auto"/>
          <w:kern w:val="0"/>
          <w:sz w:val="32"/>
          <w:szCs w:val="32"/>
          <w:highlight w:val="none"/>
          <w:u w:val="none"/>
          <w:lang w:val="en-US" w:eastAsia="zh-CN"/>
        </w:rPr>
        <w:t>2017年三公经费--招待费支出0.22万元，与年初预算数持平，较去年决算数0.3万元减少0.08万元，降低26.7%。减少主要原因：我单位认真落实“八项规定”精神，厉行勤俭节约。</w:t>
      </w:r>
    </w:p>
    <w:p>
      <w:pPr>
        <w:numPr>
          <w:ilvl w:val="0"/>
          <w:numId w:val="1"/>
        </w:numPr>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公务用车运行维护费2万元，较去年增加0.37万元，增长22.7%。增加的主要原因：</w:t>
      </w:r>
      <w:r>
        <w:rPr>
          <w:rFonts w:hint="eastAsia" w:ascii="仿宋_GB2312" w:hAnsi="仿宋_GB2312" w:eastAsia="仿宋_GB2312" w:cs="仿宋_GB2312"/>
          <w:color w:val="auto"/>
          <w:kern w:val="0"/>
          <w:sz w:val="32"/>
          <w:szCs w:val="32"/>
          <w:highlight w:val="none"/>
          <w:u w:val="single"/>
          <w:lang w:val="en-US" w:eastAsia="zh-CN"/>
        </w:rPr>
        <w:t>（1）我单位公务用车系2016年底公车改革划拨车辆，比较陈旧需维修后才能使用，造成车辆维修费增加。（2）事业单位机构改革任务较重，</w:t>
      </w:r>
      <w:r>
        <w:rPr>
          <w:rFonts w:hint="eastAsia" w:ascii="仿宋_GB2312" w:hAnsi="仿宋_GB2312" w:eastAsia="仿宋_GB2312" w:cs="仿宋_GB2312"/>
          <w:color w:val="auto"/>
          <w:kern w:val="0"/>
          <w:sz w:val="32"/>
          <w:szCs w:val="32"/>
          <w:highlight w:val="none"/>
          <w:u w:val="none"/>
          <w:lang w:val="en-US" w:eastAsia="zh-CN"/>
        </w:rPr>
        <w:t>下基层调研较多。</w:t>
      </w:r>
    </w:p>
    <w:p>
      <w:pPr>
        <w:numPr>
          <w:ilvl w:val="0"/>
          <w:numId w:val="0"/>
        </w:numPr>
        <w:ind w:left="640" w:left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公务用车购置及运行维护费支出 2万元。本部门2017 年度公务用车购置及运行维</w:t>
      </w:r>
    </w:p>
    <w:p>
      <w:pPr>
        <w:numPr>
          <w:ilvl w:val="0"/>
          <w:numId w:val="0"/>
        </w:numPr>
        <w:ind w:left="640" w:hanging="640" w:hanging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护费较年初预算（ 2万元）无增减情况；较 2016年度决算（1.63万元）增加0.37 万元，增加22.7%,主要是因为2016年底公车改革由机关事务局拨付公车一辆，在2017年初由于车辆较陈旧，需维护后才可使用，所以造成公车运行及维护费增加。</w:t>
      </w: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公务用车购置费：本部门公务用车为车改后统一划拨，2017 年度未发生“公务用车购置”经费支出。公务用车购置费支出较年初预算无增减变化；较 2016 年度决算无增减变化。</w:t>
      </w: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公务用车运行维护费：本部门 2017 年度单位公务用车保有量 1 辆。公车运行维护费支出较年初预算（2 万元）无增减变化；较 2016 年度决算（1.63万元）增加 0.37万元，增加22.7%,主要是因为2016年底公车改革由机关事务局拨付公车一辆，由于车辆较陈旧，需维护后才可使用，所以造成公车运行及维护费增加。</w:t>
      </w:r>
    </w:p>
    <w:p>
      <w:pPr>
        <w:numPr>
          <w:ilvl w:val="0"/>
          <w:numId w:val="0"/>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3、因公出国境本年为0，与年初预算和上年决算无增减变化。</w:t>
      </w:r>
    </w:p>
    <w:p>
      <w:pPr>
        <w:numPr>
          <w:ilvl w:val="0"/>
          <w:numId w:val="2"/>
        </w:numPr>
        <w:ind w:firstLine="640"/>
        <w:rPr>
          <w:rFonts w:hint="eastAsia" w:ascii="仿宋" w:hAnsi="仿宋" w:eastAsia="仿宋" w:cs="仿宋"/>
          <w:b/>
          <w:bCs/>
          <w:color w:val="auto"/>
          <w:kern w:val="0"/>
          <w:sz w:val="32"/>
          <w:szCs w:val="32"/>
          <w:highlight w:val="none"/>
          <w:u w:val="none"/>
          <w:lang w:val="en-US" w:eastAsia="zh-CN"/>
        </w:rPr>
      </w:pPr>
      <w:r>
        <w:rPr>
          <w:rFonts w:hint="eastAsia" w:ascii="仿宋" w:hAnsi="仿宋" w:eastAsia="仿宋" w:cs="仿宋"/>
          <w:b/>
          <w:bCs/>
          <w:color w:val="auto"/>
          <w:kern w:val="0"/>
          <w:sz w:val="32"/>
          <w:szCs w:val="32"/>
          <w:highlight w:val="none"/>
          <w:u w:val="none"/>
          <w:lang w:val="en-US" w:eastAsia="zh-CN"/>
        </w:rPr>
        <w:t>政府采购情况说明</w:t>
      </w:r>
    </w:p>
    <w:p>
      <w:pPr>
        <w:numPr>
          <w:ilvl w:val="0"/>
          <w:numId w:val="0"/>
        </w:numPr>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我单位2017年度无政府采购事项。</w:t>
      </w:r>
    </w:p>
    <w:p>
      <w:pPr>
        <w:numPr>
          <w:ilvl w:val="0"/>
          <w:numId w:val="2"/>
        </w:numPr>
        <w:ind w:firstLine="640" w:firstLineChars="0"/>
        <w:rPr>
          <w:rFonts w:hint="eastAsia" w:ascii="仿宋" w:hAnsi="仿宋" w:eastAsia="仿宋" w:cs="仿宋"/>
          <w:b/>
          <w:bCs/>
          <w:color w:val="auto"/>
          <w:kern w:val="0"/>
          <w:sz w:val="32"/>
          <w:szCs w:val="32"/>
          <w:highlight w:val="none"/>
          <w:u w:val="none"/>
          <w:lang w:val="en-US" w:eastAsia="zh-CN"/>
        </w:rPr>
      </w:pPr>
      <w:r>
        <w:rPr>
          <w:rFonts w:hint="eastAsia" w:ascii="仿宋" w:hAnsi="仿宋" w:eastAsia="仿宋" w:cs="仿宋"/>
          <w:b/>
          <w:bCs/>
          <w:color w:val="auto"/>
          <w:kern w:val="0"/>
          <w:sz w:val="32"/>
          <w:szCs w:val="32"/>
          <w:highlight w:val="none"/>
          <w:u w:val="none"/>
          <w:lang w:val="en-US" w:eastAsia="zh-CN"/>
        </w:rPr>
        <w:t>资产情况说明</w:t>
      </w:r>
    </w:p>
    <w:p>
      <w:pPr>
        <w:numPr>
          <w:ilvl w:val="0"/>
          <w:numId w:val="0"/>
        </w:numPr>
        <w:ind w:firstLine="640" w:firstLineChars="200"/>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2017年年初资产总额18.07万元，较2016年度决算（10.90）增加了7.17万，其中：固定资产18.05万元，占99.89%，流动资产0.02万元，占0.11%。年末资产总额19.53万元，其中固定资产18.35万元，占资产总额的93.96%，流动资产1.18万元，占资产总额的6.04%。2017年度新增办公桌椅等资产共计0.3万元。</w:t>
      </w:r>
    </w:p>
    <w:p>
      <w:pPr>
        <w:numPr>
          <w:ilvl w:val="0"/>
          <w:numId w:val="0"/>
        </w:numPr>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三、固定资产占用情况说明</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auto"/>
        <w:ind w:firstLine="549"/>
        <w:rPr>
          <w:rFonts w:hint="eastAsia" w:asciiTheme="minorHAnsi" w:hAnsiTheme="minorHAnsi" w:eastAsiaTheme="minorEastAsia" w:cstheme="minorBidi"/>
          <w:color w:val="auto"/>
          <w:kern w:val="2"/>
          <w:sz w:val="32"/>
          <w:szCs w:val="32"/>
          <w:highlight w:val="none"/>
          <w:lang w:val="en-US" w:eastAsia="zh-CN" w:bidi="ar-SA"/>
        </w:rPr>
      </w:pPr>
      <w:r>
        <w:rPr>
          <w:rFonts w:hint="eastAsia" w:asciiTheme="minorHAnsi" w:hAnsiTheme="minorHAnsi" w:eastAsiaTheme="minorEastAsia" w:cstheme="minorBidi"/>
          <w:color w:val="auto"/>
          <w:kern w:val="2"/>
          <w:sz w:val="32"/>
          <w:szCs w:val="32"/>
          <w:highlight w:val="none"/>
          <w:lang w:val="en-US" w:eastAsia="zh-CN" w:bidi="ar-SA"/>
        </w:rPr>
        <w:t>截至 2017 年 12 月 31 日，县</w:t>
      </w:r>
      <w:r>
        <w:rPr>
          <w:rFonts w:hint="eastAsia" w:eastAsiaTheme="minorEastAsia" w:cstheme="minorBidi"/>
          <w:color w:val="auto"/>
          <w:kern w:val="2"/>
          <w:sz w:val="32"/>
          <w:szCs w:val="32"/>
          <w:highlight w:val="none"/>
          <w:lang w:val="en-US" w:eastAsia="zh-CN" w:bidi="ar-SA"/>
        </w:rPr>
        <w:t>编办</w:t>
      </w:r>
      <w:r>
        <w:rPr>
          <w:rFonts w:hint="eastAsia" w:asciiTheme="minorHAnsi" w:hAnsiTheme="minorHAnsi" w:eastAsiaTheme="minorEastAsia" w:cstheme="minorBidi"/>
          <w:color w:val="auto"/>
          <w:kern w:val="2"/>
          <w:sz w:val="32"/>
          <w:szCs w:val="32"/>
          <w:highlight w:val="none"/>
          <w:lang w:val="en-US" w:eastAsia="zh-CN" w:bidi="ar-SA"/>
        </w:rPr>
        <w:t>部门共有车辆 1 辆，其中：一般公务用车 1辆、其他用车 0辆。单价50 万元以上的设备0台（套） ，单价100 万元以上的设备0台（套） ，</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60" w:lineRule="auto"/>
        <w:ind w:firstLine="549"/>
        <w:rPr>
          <w:rFonts w:hint="eastAsia" w:asciiTheme="minorHAnsi" w:hAnsiTheme="minorHAnsi" w:eastAsiaTheme="minorEastAsia" w:cstheme="minorBidi"/>
          <w:color w:val="auto"/>
          <w:kern w:val="2"/>
          <w:sz w:val="32"/>
          <w:szCs w:val="32"/>
          <w:highlight w:val="none"/>
          <w:lang w:val="en-US" w:eastAsia="zh-CN" w:bidi="ar-SA"/>
        </w:rPr>
      </w:pPr>
      <w:r>
        <w:rPr>
          <w:rFonts w:hint="eastAsia" w:asciiTheme="minorHAnsi" w:hAnsiTheme="minorHAnsi" w:eastAsiaTheme="minorEastAsia" w:cstheme="minorBidi"/>
          <w:color w:val="auto"/>
          <w:kern w:val="2"/>
          <w:sz w:val="32"/>
          <w:szCs w:val="32"/>
          <w:highlight w:val="none"/>
          <w:lang w:val="en-US" w:eastAsia="zh-CN" w:bidi="ar-SA"/>
        </w:rPr>
        <w:t>2017年出年初资产总额</w:t>
      </w:r>
      <w:r>
        <w:rPr>
          <w:rFonts w:hint="eastAsia" w:eastAsiaTheme="minorEastAsia" w:cstheme="minorBidi"/>
          <w:color w:val="auto"/>
          <w:kern w:val="2"/>
          <w:sz w:val="32"/>
          <w:szCs w:val="32"/>
          <w:highlight w:val="none"/>
          <w:lang w:val="en-US" w:eastAsia="zh-CN" w:bidi="ar-SA"/>
        </w:rPr>
        <w:t>18.05</w:t>
      </w:r>
      <w:r>
        <w:rPr>
          <w:rFonts w:hint="eastAsia" w:asciiTheme="minorHAnsi" w:hAnsiTheme="minorHAnsi" w:eastAsiaTheme="minorEastAsia" w:cstheme="minorBidi"/>
          <w:color w:val="auto"/>
          <w:kern w:val="2"/>
          <w:sz w:val="32"/>
          <w:szCs w:val="32"/>
          <w:highlight w:val="none"/>
          <w:lang w:val="en-US" w:eastAsia="zh-CN" w:bidi="ar-SA"/>
        </w:rPr>
        <w:t>万元，年末资产总额</w:t>
      </w:r>
      <w:r>
        <w:rPr>
          <w:rFonts w:hint="eastAsia" w:eastAsiaTheme="minorEastAsia" w:cstheme="minorBidi"/>
          <w:color w:val="auto"/>
          <w:kern w:val="2"/>
          <w:sz w:val="32"/>
          <w:szCs w:val="32"/>
          <w:highlight w:val="none"/>
          <w:lang w:val="en-US" w:eastAsia="zh-CN" w:bidi="ar-SA"/>
        </w:rPr>
        <w:t>18.35</w:t>
      </w:r>
      <w:r>
        <w:rPr>
          <w:rFonts w:hint="eastAsia" w:asciiTheme="minorHAnsi" w:hAnsiTheme="minorHAnsi" w:eastAsiaTheme="minorEastAsia" w:cstheme="minorBidi"/>
          <w:color w:val="auto"/>
          <w:kern w:val="2"/>
          <w:sz w:val="32"/>
          <w:szCs w:val="32"/>
          <w:highlight w:val="none"/>
          <w:lang w:val="en-US" w:eastAsia="zh-CN" w:bidi="ar-SA"/>
        </w:rPr>
        <w:t>万元</w:t>
      </w:r>
      <w:r>
        <w:rPr>
          <w:rFonts w:hint="eastAsia" w:eastAsiaTheme="minorEastAsia" w:cstheme="minorBidi"/>
          <w:color w:val="auto"/>
          <w:kern w:val="2"/>
          <w:sz w:val="32"/>
          <w:szCs w:val="32"/>
          <w:highlight w:val="none"/>
          <w:lang w:val="en-US" w:eastAsia="zh-CN" w:bidi="ar-SA"/>
        </w:rPr>
        <w:t>，年末较年初增加0.3万元（购置办公桌椅）</w:t>
      </w:r>
      <w:r>
        <w:rPr>
          <w:rFonts w:hint="eastAsia" w:asciiTheme="minorHAnsi" w:hAnsiTheme="minorHAnsi" w:eastAsiaTheme="minorEastAsia" w:cstheme="minorBidi"/>
          <w:color w:val="auto"/>
          <w:kern w:val="2"/>
          <w:sz w:val="32"/>
          <w:szCs w:val="32"/>
          <w:highlight w:val="none"/>
          <w:lang w:val="en-US" w:eastAsia="zh-CN" w:bidi="ar-SA"/>
        </w:rPr>
        <w:t>。2017年年末资产总额中，流动资产</w:t>
      </w:r>
      <w:r>
        <w:rPr>
          <w:rFonts w:hint="eastAsia" w:eastAsiaTheme="minorEastAsia" w:cstheme="minorBidi"/>
          <w:color w:val="auto"/>
          <w:kern w:val="2"/>
          <w:sz w:val="32"/>
          <w:szCs w:val="32"/>
          <w:highlight w:val="none"/>
          <w:lang w:val="en-US" w:eastAsia="zh-CN" w:bidi="ar-SA"/>
        </w:rPr>
        <w:t>1.18</w:t>
      </w:r>
      <w:r>
        <w:rPr>
          <w:rFonts w:hint="eastAsia" w:asciiTheme="minorHAnsi" w:hAnsiTheme="minorHAnsi" w:eastAsiaTheme="minorEastAsia" w:cstheme="minorBidi"/>
          <w:color w:val="auto"/>
          <w:kern w:val="2"/>
          <w:sz w:val="32"/>
          <w:szCs w:val="32"/>
          <w:highlight w:val="none"/>
          <w:lang w:val="en-US" w:eastAsia="zh-CN" w:bidi="ar-SA"/>
        </w:rPr>
        <w:t>万元，固定资产</w:t>
      </w:r>
      <w:r>
        <w:rPr>
          <w:rFonts w:hint="eastAsia" w:eastAsiaTheme="minorEastAsia" w:cstheme="minorBidi"/>
          <w:color w:val="auto"/>
          <w:kern w:val="2"/>
          <w:sz w:val="32"/>
          <w:szCs w:val="32"/>
          <w:highlight w:val="none"/>
          <w:lang w:val="en-US" w:eastAsia="zh-CN" w:bidi="ar-SA"/>
        </w:rPr>
        <w:t>18.35</w:t>
      </w:r>
      <w:r>
        <w:rPr>
          <w:rFonts w:hint="eastAsia" w:asciiTheme="minorHAnsi" w:hAnsiTheme="minorHAnsi" w:eastAsiaTheme="minorEastAsia" w:cstheme="minorBidi"/>
          <w:color w:val="auto"/>
          <w:kern w:val="2"/>
          <w:sz w:val="32"/>
          <w:szCs w:val="32"/>
          <w:highlight w:val="none"/>
          <w:lang w:val="en-US" w:eastAsia="zh-CN" w:bidi="ar-SA"/>
        </w:rPr>
        <w:t>万元。固定资产中车辆</w:t>
      </w:r>
      <w:r>
        <w:rPr>
          <w:rFonts w:hint="eastAsia" w:eastAsiaTheme="minorEastAsia" w:cstheme="minorBidi"/>
          <w:color w:val="auto"/>
          <w:kern w:val="2"/>
          <w:sz w:val="32"/>
          <w:szCs w:val="32"/>
          <w:highlight w:val="none"/>
          <w:lang w:val="en-US" w:eastAsia="zh-CN" w:bidi="ar-SA"/>
        </w:rPr>
        <w:t>7.15</w:t>
      </w:r>
      <w:r>
        <w:rPr>
          <w:rFonts w:hint="eastAsia" w:asciiTheme="minorHAnsi" w:hAnsiTheme="minorHAnsi" w:eastAsiaTheme="minorEastAsia" w:cstheme="minorBidi"/>
          <w:color w:val="auto"/>
          <w:kern w:val="2"/>
          <w:sz w:val="32"/>
          <w:szCs w:val="32"/>
          <w:highlight w:val="none"/>
          <w:lang w:val="en-US" w:eastAsia="zh-CN" w:bidi="ar-SA"/>
        </w:rPr>
        <w:t>万元，其他固定资产</w:t>
      </w:r>
      <w:r>
        <w:rPr>
          <w:rFonts w:hint="eastAsia" w:eastAsiaTheme="minorEastAsia" w:cstheme="minorBidi"/>
          <w:color w:val="auto"/>
          <w:kern w:val="2"/>
          <w:sz w:val="32"/>
          <w:szCs w:val="32"/>
          <w:highlight w:val="none"/>
          <w:lang w:val="en-US" w:eastAsia="zh-CN" w:bidi="ar-SA"/>
        </w:rPr>
        <w:t>11.2</w:t>
      </w:r>
      <w:r>
        <w:rPr>
          <w:rFonts w:hint="eastAsia" w:asciiTheme="minorHAnsi" w:hAnsiTheme="minorHAnsi" w:eastAsiaTheme="minorEastAsia" w:cstheme="minorBidi"/>
          <w:color w:val="auto"/>
          <w:kern w:val="2"/>
          <w:sz w:val="32"/>
          <w:szCs w:val="32"/>
          <w:highlight w:val="none"/>
          <w:lang w:val="en-US" w:eastAsia="zh-CN" w:bidi="ar-SA"/>
        </w:rPr>
        <w:t>万元（主要为通用设备、</w:t>
      </w:r>
      <w:r>
        <w:rPr>
          <w:rFonts w:hint="eastAsia" w:eastAsiaTheme="minorEastAsia" w:cstheme="minorBidi"/>
          <w:color w:val="auto"/>
          <w:kern w:val="2"/>
          <w:sz w:val="32"/>
          <w:szCs w:val="32"/>
          <w:highlight w:val="none"/>
          <w:lang w:val="en-US" w:eastAsia="zh-CN" w:bidi="ar-SA"/>
        </w:rPr>
        <w:t>办公</w:t>
      </w:r>
      <w:r>
        <w:rPr>
          <w:rFonts w:hint="eastAsia" w:asciiTheme="minorHAnsi" w:hAnsiTheme="minorHAnsi" w:eastAsiaTheme="minorEastAsia" w:cstheme="minorBidi"/>
          <w:color w:val="auto"/>
          <w:kern w:val="2"/>
          <w:sz w:val="32"/>
          <w:szCs w:val="32"/>
          <w:highlight w:val="none"/>
          <w:lang w:val="en-US" w:eastAsia="zh-CN" w:bidi="ar-SA"/>
        </w:rPr>
        <w:t>家具</w:t>
      </w:r>
      <w:r>
        <w:rPr>
          <w:rFonts w:hint="eastAsia" w:eastAsiaTheme="minorEastAsia" w:cstheme="minorBidi"/>
          <w:color w:val="auto"/>
          <w:kern w:val="2"/>
          <w:sz w:val="32"/>
          <w:szCs w:val="32"/>
          <w:highlight w:val="none"/>
          <w:lang w:val="en-US" w:eastAsia="zh-CN" w:bidi="ar-SA"/>
        </w:rPr>
        <w:t>等</w:t>
      </w:r>
      <w:r>
        <w:rPr>
          <w:rFonts w:hint="eastAsia" w:asciiTheme="minorHAnsi" w:hAnsiTheme="minorHAnsi" w:eastAsiaTheme="minorEastAsia" w:cstheme="minorBidi"/>
          <w:color w:val="auto"/>
          <w:kern w:val="2"/>
          <w:sz w:val="32"/>
          <w:szCs w:val="32"/>
          <w:highlight w:val="none"/>
          <w:lang w:val="en-US" w:eastAsia="zh-CN" w:bidi="ar-SA"/>
        </w:rPr>
        <w:t>）。</w:t>
      </w:r>
    </w:p>
    <w:p>
      <w:pPr>
        <w:numPr>
          <w:ilvl w:val="0"/>
          <w:numId w:val="0"/>
        </w:numPr>
        <w:ind w:firstLine="643" w:firstLineChars="200"/>
        <w:rPr>
          <w:rFonts w:hint="eastAsia" w:ascii="仿宋" w:hAnsi="仿宋" w:eastAsia="仿宋" w:cs="仿宋"/>
          <w:b/>
          <w:bCs/>
          <w:color w:val="auto"/>
          <w:kern w:val="0"/>
          <w:sz w:val="32"/>
          <w:szCs w:val="32"/>
          <w:highlight w:val="none"/>
          <w:u w:val="none"/>
          <w:lang w:val="en-US" w:eastAsia="zh-CN"/>
        </w:rPr>
      </w:pPr>
      <w:r>
        <w:rPr>
          <w:rFonts w:hint="eastAsia" w:ascii="仿宋" w:hAnsi="仿宋" w:eastAsia="仿宋" w:cs="仿宋"/>
          <w:b/>
          <w:bCs/>
          <w:color w:val="auto"/>
          <w:kern w:val="0"/>
          <w:sz w:val="32"/>
          <w:szCs w:val="32"/>
          <w:highlight w:val="none"/>
          <w:u w:val="none"/>
          <w:lang w:val="en-US" w:eastAsia="zh-CN"/>
        </w:rPr>
        <w:t>八、预算绩效管理工作开展情况说明</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882" w:firstLineChars="300"/>
        <w:textAlignment w:val="auto"/>
        <w:rPr>
          <w:rFonts w:ascii="仿宋_GB2312" w:hAnsi="仿宋_GB2312" w:eastAsia="仿宋_GB2312" w:cs="仿宋_GB2312"/>
          <w:b w:val="0"/>
          <w:bCs w:val="0"/>
          <w:color w:val="auto"/>
          <w:spacing w:val="-13"/>
          <w:sz w:val="32"/>
          <w:szCs w:val="32"/>
          <w:highlight w:val="none"/>
          <w:u w:val="none"/>
          <w:lang w:val="zh-CN" w:eastAsia="zh-CN" w:bidi="zh-CN"/>
        </w:rPr>
      </w:pPr>
      <w:r>
        <w:rPr>
          <w:rFonts w:hint="eastAsia" w:ascii="仿宋_GB2312" w:hAnsi="仿宋_GB2312" w:eastAsia="仿宋_GB2312" w:cs="仿宋_GB2312"/>
          <w:b w:val="0"/>
          <w:bCs w:val="0"/>
          <w:color w:val="auto"/>
          <w:spacing w:val="-13"/>
          <w:sz w:val="32"/>
          <w:szCs w:val="32"/>
          <w:highlight w:val="none"/>
          <w:u w:val="none"/>
          <w:lang w:val="en-US" w:eastAsia="zh-CN" w:bidi="zh-CN"/>
        </w:rPr>
        <w:t>一、</w:t>
      </w:r>
      <w:r>
        <w:rPr>
          <w:rFonts w:ascii="仿宋_GB2312" w:hAnsi="仿宋_GB2312" w:eastAsia="仿宋_GB2312" w:cs="仿宋_GB2312"/>
          <w:b w:val="0"/>
          <w:bCs w:val="0"/>
          <w:color w:val="auto"/>
          <w:spacing w:val="-13"/>
          <w:sz w:val="32"/>
          <w:szCs w:val="32"/>
          <w:highlight w:val="none"/>
          <w:u w:val="none"/>
          <w:lang w:val="zh-CN" w:eastAsia="zh-CN" w:bidi="zh-CN"/>
        </w:rPr>
        <w:t>加强组织领导。一是成立了由</w:t>
      </w:r>
      <w:r>
        <w:rPr>
          <w:rFonts w:hint="eastAsia" w:ascii="仿宋_GB2312" w:hAnsi="仿宋_GB2312" w:eastAsia="仿宋_GB2312" w:cs="仿宋_GB2312"/>
          <w:b w:val="0"/>
          <w:bCs w:val="0"/>
          <w:color w:val="auto"/>
          <w:spacing w:val="-13"/>
          <w:sz w:val="32"/>
          <w:szCs w:val="32"/>
          <w:highlight w:val="none"/>
          <w:u w:val="none"/>
          <w:lang w:val="zh-CN" w:eastAsia="zh-CN" w:bidi="zh-CN"/>
        </w:rPr>
        <w:t>编办主任</w:t>
      </w:r>
      <w:r>
        <w:rPr>
          <w:rFonts w:hint="eastAsia" w:ascii="仿宋_GB2312" w:hAnsi="仿宋_GB2312" w:eastAsia="仿宋_GB2312" w:cs="仿宋_GB2312"/>
          <w:b w:val="0"/>
          <w:bCs w:val="0"/>
          <w:color w:val="auto"/>
          <w:spacing w:val="-13"/>
          <w:sz w:val="32"/>
          <w:szCs w:val="32"/>
          <w:highlight w:val="none"/>
          <w:u w:val="none"/>
          <w:lang w:val="en-US" w:eastAsia="zh-CN" w:bidi="zh-CN"/>
        </w:rPr>
        <w:t>为组长的</w:t>
      </w:r>
      <w:r>
        <w:rPr>
          <w:rFonts w:ascii="仿宋_GB2312" w:hAnsi="仿宋_GB2312" w:eastAsia="仿宋_GB2312" w:cs="仿宋_GB2312"/>
          <w:b w:val="0"/>
          <w:bCs w:val="0"/>
          <w:color w:val="auto"/>
          <w:spacing w:val="-13"/>
          <w:sz w:val="32"/>
          <w:szCs w:val="32"/>
          <w:highlight w:val="none"/>
          <w:u w:val="none"/>
          <w:lang w:val="zh-CN" w:eastAsia="zh-CN" w:bidi="zh-CN"/>
        </w:rPr>
        <w:t>工作小组。二是制定了切实可靠的预算绩效评价实施方案。三是及时掌握项目实施所达到的社会效益和经济效益，以及群众对此项工作的认可度，确保了评价的质量和效果。四是认真组织绩效审核，组织自评小组围绕项目实施的现实意义、项目目标设定、项目资金管理使用情况、项目绩效完成情况、项目绩效监控情况、绩效制度建设等情况开展绩效评价工作。</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882" w:firstLineChars="300"/>
        <w:textAlignment w:val="auto"/>
        <w:rPr>
          <w:rFonts w:hint="eastAsia" w:ascii="仿宋_GB2312" w:hAnsi="仿宋_GB2312" w:eastAsia="仿宋_GB2312" w:cs="仿宋_GB2312"/>
          <w:b w:val="0"/>
          <w:bCs w:val="0"/>
          <w:color w:val="auto"/>
          <w:spacing w:val="-13"/>
          <w:sz w:val="32"/>
          <w:szCs w:val="32"/>
          <w:highlight w:val="none"/>
          <w:u w:val="none"/>
          <w:lang w:val="en-US" w:eastAsia="zh-CN" w:bidi="zh-CN"/>
        </w:rPr>
      </w:pPr>
      <w:r>
        <w:rPr>
          <w:rFonts w:hint="eastAsia" w:ascii="仿宋_GB2312" w:hAnsi="仿宋_GB2312" w:eastAsia="仿宋_GB2312" w:cs="仿宋_GB2312"/>
          <w:b w:val="0"/>
          <w:bCs w:val="0"/>
          <w:color w:val="auto"/>
          <w:spacing w:val="-13"/>
          <w:sz w:val="32"/>
          <w:szCs w:val="32"/>
          <w:highlight w:val="none"/>
          <w:u w:val="none"/>
          <w:lang w:val="en-US" w:eastAsia="zh-CN" w:bidi="zh-CN"/>
        </w:rPr>
        <w:t>二、制定绩效管理自评方案。进一步明确了评价工作的指导思想、方法步骤，细化了应达到的绩效目标和相应的绩效指标， 完善了编办绩效评价工作体系。按照经济性、效率性、有效性的原则；定量分析与定性分析相结合的原则；真实性、科学性、规范性的原则，对重点农业项目制定绩效评价实施方案和绩效指标评价体系。围绕确定的绩效目标、绩效指标，开展相关数据的收集、整理、分析，查阅相关资料、听取汇报等多种途径，调查、收集了评价项目的相关基础资料。客观公正地开展绩效评价和编制绩效评价自评报告。通过自评，2017年度编委办较好的完成了项目的实施，取得了较好的效果，自评结果为优良。</w:t>
      </w:r>
    </w:p>
    <w:p>
      <w:pPr>
        <w:ind w:firstLine="735" w:firstLineChars="250"/>
        <w:rPr>
          <w:rFonts w:hint="eastAsia" w:ascii="黑体" w:hAnsi="黑体" w:eastAsia="黑体"/>
          <w:b/>
          <w:color w:val="auto"/>
          <w:sz w:val="32"/>
          <w:szCs w:val="32"/>
          <w:highlight w:val="none"/>
          <w:u w:val="none"/>
          <w:lang w:eastAsia="zh-CN"/>
        </w:rPr>
      </w:pPr>
      <w:r>
        <w:rPr>
          <w:rFonts w:ascii="仿宋_GB2312" w:hAnsi="仿宋_GB2312" w:eastAsia="仿宋_GB2312" w:cs="仿宋_GB2312"/>
          <w:b w:val="0"/>
          <w:bCs w:val="0"/>
          <w:color w:val="auto"/>
          <w:spacing w:val="-13"/>
          <w:sz w:val="32"/>
          <w:szCs w:val="32"/>
          <w:highlight w:val="none"/>
          <w:u w:val="none"/>
          <w:lang w:val="zh-CN" w:eastAsia="zh-CN" w:bidi="zh-CN"/>
        </w:rPr>
        <w:t>预算绩效评价结果应用情况。通过开展 2017 年度项目绩效评价，一是促进了项目管理水平的提高，进一步完善了规章制度；二是各项目绩效目标设立明确、指标设置合理、内容全面，操作性强。</w:t>
      </w:r>
    </w:p>
    <w:p>
      <w:pPr>
        <w:spacing w:line="360" w:lineRule="auto"/>
        <w:ind w:firstLine="321" w:firstLineChars="100"/>
        <w:rPr>
          <w:rFonts w:hint="eastAsia" w:ascii="仿宋" w:hAnsi="仿宋" w:eastAsia="仿宋" w:cs="仿宋"/>
          <w:b/>
          <w:color w:val="auto"/>
          <w:sz w:val="32"/>
          <w:szCs w:val="32"/>
          <w:highlight w:val="none"/>
          <w:u w:val="none"/>
          <w:lang w:val="en-US" w:eastAsia="zh-CN"/>
        </w:rPr>
      </w:pPr>
      <w:r>
        <w:rPr>
          <w:rFonts w:hint="eastAsia" w:ascii="仿宋" w:hAnsi="仿宋" w:eastAsia="仿宋" w:cs="仿宋"/>
          <w:b/>
          <w:color w:val="auto"/>
          <w:sz w:val="32"/>
          <w:szCs w:val="32"/>
          <w:highlight w:val="none"/>
          <w:u w:val="none"/>
          <w:lang w:val="en-US" w:eastAsia="zh-CN"/>
        </w:rPr>
        <w:t>九、其他重要事项的说明</w:t>
      </w:r>
    </w:p>
    <w:p>
      <w:pPr>
        <w:spacing w:line="360" w:lineRule="auto"/>
        <w:ind w:firstLine="720" w:firstLineChars="225"/>
        <w:rPr>
          <w:rFonts w:hint="eastAsia" w:asciiTheme="majorEastAsia" w:hAnsiTheme="majorEastAsia" w:eastAsiaTheme="majorEastAsia" w:cstheme="majorEastAsia"/>
          <w:b w:val="0"/>
          <w:bCs/>
          <w:color w:val="auto"/>
          <w:sz w:val="32"/>
          <w:szCs w:val="32"/>
          <w:highlight w:val="none"/>
          <w:u w:val="none"/>
          <w:lang w:val="en-US" w:eastAsia="zh-CN"/>
        </w:rPr>
      </w:pPr>
      <w:r>
        <w:rPr>
          <w:rFonts w:hint="eastAsia" w:asciiTheme="majorEastAsia" w:hAnsiTheme="majorEastAsia" w:eastAsiaTheme="majorEastAsia" w:cstheme="majorEastAsia"/>
          <w:b w:val="0"/>
          <w:bCs/>
          <w:color w:val="auto"/>
          <w:sz w:val="32"/>
          <w:szCs w:val="32"/>
          <w:highlight w:val="none"/>
          <w:u w:val="none"/>
          <w:lang w:val="en-US" w:eastAsia="zh-CN"/>
        </w:rPr>
        <w:t>1、机关运行经费情况</w:t>
      </w:r>
    </w:p>
    <w:p>
      <w:pPr>
        <w:spacing w:line="360" w:lineRule="auto"/>
        <w:ind w:firstLine="720" w:firstLineChars="225"/>
        <w:rPr>
          <w:rFonts w:hint="eastAsia" w:ascii="仿宋_GB2312" w:hAnsi="仿宋_GB2312" w:eastAsia="仿宋_GB2312" w:cs="仿宋_GB2312"/>
          <w:b w:val="0"/>
          <w:bCs/>
          <w:color w:val="auto"/>
          <w:sz w:val="32"/>
          <w:szCs w:val="32"/>
          <w:highlight w:val="none"/>
          <w:u w:val="none"/>
          <w:lang w:val="en-US" w:eastAsia="zh-CN"/>
        </w:rPr>
      </w:pPr>
      <w:r>
        <w:rPr>
          <w:rFonts w:hint="eastAsia" w:ascii="仿宋_GB2312" w:hAnsi="仿宋_GB2312" w:eastAsia="仿宋_GB2312" w:cs="仿宋_GB2312"/>
          <w:b w:val="0"/>
          <w:bCs/>
          <w:color w:val="auto"/>
          <w:sz w:val="32"/>
          <w:szCs w:val="32"/>
          <w:highlight w:val="none"/>
          <w:u w:val="none"/>
          <w:lang w:val="en-US" w:eastAsia="zh-CN"/>
        </w:rPr>
        <w:t>2017年本部门机关运行经费支出11.93万元，比2016年（7.66万）增加了4.27万元，增加 35  %，主要原因是：</w:t>
      </w:r>
      <w:r>
        <w:rPr>
          <w:rFonts w:hint="eastAsia" w:ascii="仿宋_GB2312" w:hAnsi="仿宋" w:eastAsia="仿宋_GB2312"/>
          <w:color w:val="auto"/>
          <w:sz w:val="32"/>
          <w:szCs w:val="32"/>
          <w:highlight w:val="none"/>
          <w:u w:val="none"/>
          <w:lang w:val="en-US" w:eastAsia="zh-CN"/>
        </w:rPr>
        <w:t>调入2名工作人员，工资福利等支出相应增加和调资等因素</w:t>
      </w:r>
      <w:r>
        <w:rPr>
          <w:rFonts w:hint="eastAsia" w:ascii="仿宋_GB2312" w:hAnsi="仿宋_GB2312" w:eastAsia="仿宋_GB2312" w:cs="仿宋_GB2312"/>
          <w:b w:val="0"/>
          <w:bCs/>
          <w:color w:val="auto"/>
          <w:sz w:val="32"/>
          <w:szCs w:val="32"/>
          <w:highlight w:val="none"/>
          <w:u w:val="none"/>
          <w:lang w:val="en-US" w:eastAsia="zh-CN"/>
        </w:rPr>
        <w:t xml:space="preserve"> 。   </w:t>
      </w:r>
    </w:p>
    <w:p>
      <w:pPr>
        <w:spacing w:line="360" w:lineRule="auto"/>
        <w:ind w:firstLine="560"/>
        <w:rPr>
          <w:rFonts w:hint="eastAsia" w:asciiTheme="majorEastAsia" w:hAnsiTheme="majorEastAsia" w:eastAsiaTheme="majorEastAsia" w:cstheme="majorEastAsia"/>
          <w:b w:val="0"/>
          <w:bCs w:val="0"/>
          <w:color w:val="auto"/>
          <w:sz w:val="32"/>
          <w:szCs w:val="32"/>
          <w:highlight w:val="none"/>
          <w:u w:val="none"/>
        </w:rPr>
      </w:pPr>
      <w:r>
        <w:rPr>
          <w:rFonts w:hint="eastAsia" w:asciiTheme="majorEastAsia" w:hAnsiTheme="majorEastAsia" w:eastAsiaTheme="majorEastAsia" w:cstheme="majorEastAsia"/>
          <w:b w:val="0"/>
          <w:bCs w:val="0"/>
          <w:color w:val="auto"/>
          <w:sz w:val="32"/>
          <w:szCs w:val="32"/>
          <w:highlight w:val="none"/>
          <w:u w:val="none"/>
          <w:lang w:val="en-US" w:eastAsia="zh-CN"/>
        </w:rPr>
        <w:t>2、国有资产占用情况</w:t>
      </w:r>
    </w:p>
    <w:p>
      <w:pPr>
        <w:ind w:firstLine="640" w:firstLineChars="20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截止2017年12月31日，本部门共有车辆1辆，其中一般公务用车1辆，账面原值7.15万元，占总资产的36.61%。</w:t>
      </w:r>
    </w:p>
    <w:p>
      <w:pPr>
        <w:ind w:firstLine="640" w:firstLineChars="200"/>
        <w:rPr>
          <w:rFonts w:hint="eastAsia" w:ascii="宋体" w:hAnsi="宋体"/>
          <w:b w:val="0"/>
          <w:bCs/>
          <w:color w:val="auto"/>
          <w:sz w:val="32"/>
          <w:szCs w:val="32"/>
          <w:highlight w:val="none"/>
          <w:u w:val="none"/>
          <w:lang w:val="en-US" w:eastAsia="zh-CN"/>
        </w:rPr>
      </w:pPr>
      <w:r>
        <w:rPr>
          <w:rFonts w:hint="eastAsia" w:ascii="宋体" w:hAnsi="宋体"/>
          <w:b w:val="0"/>
          <w:bCs/>
          <w:color w:val="auto"/>
          <w:sz w:val="32"/>
          <w:szCs w:val="32"/>
          <w:highlight w:val="none"/>
          <w:u w:val="none"/>
          <w:lang w:val="en-US" w:eastAsia="zh-CN"/>
        </w:rPr>
        <w:t>3、其他需要说明的情况</w:t>
      </w:r>
    </w:p>
    <w:p>
      <w:pPr>
        <w:ind w:firstLine="800" w:firstLineChars="25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2017年度政府性基金预算财政拨款上年结转和结余0万元，本年收入0万元，本年支出0万元，年末结转和结余0万元。因此，2017年度政府性基金预算财政拨款收入支出决算表为空。</w:t>
      </w:r>
    </w:p>
    <w:p>
      <w:pPr>
        <w:ind w:firstLine="800" w:firstLineChars="25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2017年部门国有资本经营预算财政拨款支出为0万元，因此2017年度国有资本经营预算财政拨款支出决算表为空。</w:t>
      </w:r>
    </w:p>
    <w:p>
      <w:pPr>
        <w:rPr>
          <w:rFonts w:hint="eastAsia" w:ascii="仿宋" w:hAnsi="仿宋" w:eastAsia="仿宋" w:cs="仿宋"/>
          <w:b/>
          <w:bCs/>
          <w:color w:val="auto"/>
          <w:sz w:val="32"/>
          <w:szCs w:val="32"/>
          <w:highlight w:val="none"/>
          <w:u w:val="none"/>
        </w:rPr>
      </w:pPr>
      <w:r>
        <w:rPr>
          <w:rFonts w:hint="eastAsia" w:ascii="黑体" w:hAnsi="黑体" w:eastAsia="黑体" w:cs="黑体"/>
          <w:b/>
          <w:bCs/>
          <w:color w:val="auto"/>
          <w:sz w:val="32"/>
          <w:szCs w:val="32"/>
          <w:highlight w:val="none"/>
          <w:u w:val="none"/>
          <w:lang w:val="en-US" w:eastAsia="zh-CN"/>
        </w:rPr>
        <w:t xml:space="preserve">第四部分   </w:t>
      </w:r>
      <w:r>
        <w:rPr>
          <w:rFonts w:hint="eastAsia" w:ascii="黑体" w:hAnsi="黑体" w:eastAsia="黑体" w:cs="黑体"/>
          <w:b/>
          <w:bCs/>
          <w:color w:val="auto"/>
          <w:sz w:val="32"/>
          <w:szCs w:val="32"/>
          <w:highlight w:val="none"/>
          <w:u w:val="none"/>
        </w:rPr>
        <w:t>名词解释</w:t>
      </w:r>
    </w:p>
    <w:p>
      <w:pPr>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 xml:space="preserve">    1、</w:t>
      </w:r>
      <w:r>
        <w:rPr>
          <w:rFonts w:hint="eastAsia" w:ascii="仿宋" w:hAnsi="仿宋" w:eastAsia="仿宋" w:cs="仿宋"/>
          <w:color w:val="auto"/>
          <w:sz w:val="32"/>
          <w:szCs w:val="32"/>
          <w:highlight w:val="none"/>
          <w:u w:val="none"/>
        </w:rPr>
        <w:t>一般公共预算财政拨款收入：指县财政当年拨付的资金。</w:t>
      </w:r>
    </w:p>
    <w:p>
      <w:pPr>
        <w:ind w:firstLine="64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w:t>
      </w:r>
      <w:r>
        <w:rPr>
          <w:rFonts w:hint="eastAsia" w:ascii="仿宋" w:hAnsi="仿宋" w:eastAsia="仿宋" w:cs="仿宋"/>
          <w:color w:val="auto"/>
          <w:sz w:val="32"/>
          <w:szCs w:val="32"/>
          <w:highlight w:val="none"/>
          <w:u w:val="none"/>
        </w:rPr>
        <w:t>一般公共服务支出：行政单位及参照公务员管理的事业单位用于机构正常运行、开展日常工作的基本支出。</w:t>
      </w:r>
    </w:p>
    <w:p>
      <w:pPr>
        <w:ind w:firstLine="64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3、</w:t>
      </w:r>
      <w:r>
        <w:rPr>
          <w:rFonts w:hint="eastAsia" w:ascii="仿宋" w:hAnsi="仿宋" w:eastAsia="仿宋" w:cs="仿宋"/>
          <w:color w:val="auto"/>
          <w:sz w:val="32"/>
          <w:szCs w:val="32"/>
          <w:highlight w:val="none"/>
          <w:u w:val="none"/>
        </w:rPr>
        <w:t>社会保障和就业支出：指离退休人员支出。</w:t>
      </w:r>
    </w:p>
    <w:p>
      <w:pPr>
        <w:ind w:firstLine="64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4、</w:t>
      </w:r>
      <w:r>
        <w:rPr>
          <w:rFonts w:hint="eastAsia" w:ascii="仿宋" w:hAnsi="仿宋" w:eastAsia="仿宋" w:cs="仿宋"/>
          <w:color w:val="auto"/>
          <w:sz w:val="32"/>
          <w:szCs w:val="32"/>
          <w:highlight w:val="none"/>
          <w:u w:val="none"/>
        </w:rPr>
        <w:t>基本支出：指为保障机构正常运转、完成日常工作任务而发生的人员支出和公用支出。</w:t>
      </w:r>
    </w:p>
    <w:p>
      <w:pPr>
        <w:ind w:firstLine="64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5、</w:t>
      </w:r>
      <w:r>
        <w:rPr>
          <w:rFonts w:hint="eastAsia" w:ascii="仿宋" w:hAnsi="仿宋" w:eastAsia="仿宋" w:cs="仿宋"/>
          <w:color w:val="auto"/>
          <w:sz w:val="32"/>
          <w:szCs w:val="32"/>
          <w:highlight w:val="none"/>
          <w:u w:val="none"/>
        </w:rPr>
        <w:t>项目支出：指在基本支出之外为完成特定行政任务和事业发展目标所发生的支出。</w:t>
      </w:r>
    </w:p>
    <w:p>
      <w:pPr>
        <w:ind w:firstLine="64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6、</w:t>
      </w:r>
      <w:r>
        <w:rPr>
          <w:rFonts w:hint="eastAsia" w:ascii="仿宋" w:hAnsi="仿宋" w:eastAsia="仿宋" w:cs="仿宋"/>
          <w:color w:val="auto"/>
          <w:sz w:val="32"/>
          <w:szCs w:val="32"/>
          <w:highlight w:val="none"/>
          <w:u w:val="none"/>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按规定开支的各类公务接待（含外宾接待）支出。</w:t>
      </w:r>
    </w:p>
    <w:p>
      <w:pPr>
        <w:ind w:firstLine="640"/>
        <w:rPr>
          <w:rFonts w:hint="eastAsia" w:ascii="仿宋" w:hAnsi="仿宋" w:eastAsia="仿宋" w:cs="仿宋"/>
          <w:color w:val="auto"/>
          <w:sz w:val="32"/>
          <w:szCs w:val="32"/>
          <w:highlight w:val="none"/>
          <w:u w:val="none"/>
          <w:lang w:val="en-US" w:eastAsia="zh-CN"/>
        </w:rPr>
        <w:sectPr>
          <w:pgSz w:w="16838" w:h="11906" w:orient="landscape"/>
          <w:pgMar w:top="1803" w:right="1440" w:bottom="1803" w:left="1440" w:header="851" w:footer="992" w:gutter="0"/>
          <w:pgNumType w:fmt="decimal" w:start="1"/>
          <w:cols w:space="0" w:num="1"/>
          <w:rtlGutter w:val="0"/>
          <w:docGrid w:type="lines" w:linePitch="312" w:charSpace="0"/>
        </w:sectPr>
      </w:pP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u w:val="none"/>
        </w:rPr>
        <w:t>机关运行经费：为保障行政单位（包括实行公务员管理的事业单位）运行用于购买货物和服务的各项资金，包括办公及印刷费、邮电费、差旅费、会议费、福利费、日常维修（护）费、专用材料及一般设备购置费、办公用房水电费、办公用房取暖费、办公用房物业管理费</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公务用车运行维护费以及其他费用。</w:t>
      </w: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color w:val="auto"/>
          <w:highlight w:val="none"/>
          <w:u w:val="none"/>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8CFB8"/>
    <w:multiLevelType w:val="singleLevel"/>
    <w:tmpl w:val="CAF8CFB8"/>
    <w:lvl w:ilvl="0" w:tentative="0">
      <w:start w:val="2"/>
      <w:numFmt w:val="decimal"/>
      <w:suff w:val="nothing"/>
      <w:lvlText w:val="%1、"/>
      <w:lvlJc w:val="left"/>
    </w:lvl>
  </w:abstractNum>
  <w:abstractNum w:abstractNumId="1">
    <w:nsid w:val="5BAC26A1"/>
    <w:multiLevelType w:val="singleLevel"/>
    <w:tmpl w:val="5BAC26A1"/>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4D06"/>
    <w:rsid w:val="007201F2"/>
    <w:rsid w:val="01492519"/>
    <w:rsid w:val="01EB11E4"/>
    <w:rsid w:val="021678A0"/>
    <w:rsid w:val="028A276A"/>
    <w:rsid w:val="02FD5C2F"/>
    <w:rsid w:val="036B42A7"/>
    <w:rsid w:val="03A7255E"/>
    <w:rsid w:val="03ED1C49"/>
    <w:rsid w:val="045F5B7C"/>
    <w:rsid w:val="05284D96"/>
    <w:rsid w:val="0610531B"/>
    <w:rsid w:val="07B46110"/>
    <w:rsid w:val="07BA5414"/>
    <w:rsid w:val="088466EC"/>
    <w:rsid w:val="09822138"/>
    <w:rsid w:val="0997493F"/>
    <w:rsid w:val="09FC6566"/>
    <w:rsid w:val="0A772A8F"/>
    <w:rsid w:val="0A8B1470"/>
    <w:rsid w:val="0AF2052D"/>
    <w:rsid w:val="0B524159"/>
    <w:rsid w:val="0BB45AAC"/>
    <w:rsid w:val="0BC02D5E"/>
    <w:rsid w:val="0BE60742"/>
    <w:rsid w:val="0D6E3228"/>
    <w:rsid w:val="0E271F91"/>
    <w:rsid w:val="0FE11A4D"/>
    <w:rsid w:val="105E630D"/>
    <w:rsid w:val="10994639"/>
    <w:rsid w:val="10A561B7"/>
    <w:rsid w:val="11F54003"/>
    <w:rsid w:val="127A65F1"/>
    <w:rsid w:val="15C9589A"/>
    <w:rsid w:val="173B77A0"/>
    <w:rsid w:val="18286E2B"/>
    <w:rsid w:val="18FD4F09"/>
    <w:rsid w:val="1A7261AB"/>
    <w:rsid w:val="1C311DCA"/>
    <w:rsid w:val="1F040A59"/>
    <w:rsid w:val="1F7C29A6"/>
    <w:rsid w:val="1F9376FC"/>
    <w:rsid w:val="21952737"/>
    <w:rsid w:val="21B00FA3"/>
    <w:rsid w:val="22662087"/>
    <w:rsid w:val="226F2988"/>
    <w:rsid w:val="2294495A"/>
    <w:rsid w:val="22D71872"/>
    <w:rsid w:val="234A53D1"/>
    <w:rsid w:val="246F7C93"/>
    <w:rsid w:val="25FF567B"/>
    <w:rsid w:val="26197CD8"/>
    <w:rsid w:val="26264445"/>
    <w:rsid w:val="2638467E"/>
    <w:rsid w:val="267014F2"/>
    <w:rsid w:val="26F8392A"/>
    <w:rsid w:val="27222766"/>
    <w:rsid w:val="272F6067"/>
    <w:rsid w:val="274D7FD5"/>
    <w:rsid w:val="27B84DCA"/>
    <w:rsid w:val="296A1C3F"/>
    <w:rsid w:val="2A03411D"/>
    <w:rsid w:val="2AAE426D"/>
    <w:rsid w:val="2B42273A"/>
    <w:rsid w:val="2C3A279C"/>
    <w:rsid w:val="2E9E29BC"/>
    <w:rsid w:val="2ED303CC"/>
    <w:rsid w:val="2F4828EE"/>
    <w:rsid w:val="2FA049C0"/>
    <w:rsid w:val="2FF15DAB"/>
    <w:rsid w:val="312B478D"/>
    <w:rsid w:val="322923F6"/>
    <w:rsid w:val="348E2123"/>
    <w:rsid w:val="35A730CE"/>
    <w:rsid w:val="36AA064F"/>
    <w:rsid w:val="39B53217"/>
    <w:rsid w:val="3BA52B43"/>
    <w:rsid w:val="3BDE218B"/>
    <w:rsid w:val="3DE85CA5"/>
    <w:rsid w:val="3EFC72B0"/>
    <w:rsid w:val="44C76D91"/>
    <w:rsid w:val="45FF54F0"/>
    <w:rsid w:val="460E4926"/>
    <w:rsid w:val="461F7178"/>
    <w:rsid w:val="465F2715"/>
    <w:rsid w:val="467C5A54"/>
    <w:rsid w:val="46F44F25"/>
    <w:rsid w:val="46F7330D"/>
    <w:rsid w:val="4A613D82"/>
    <w:rsid w:val="4B236F07"/>
    <w:rsid w:val="4B8F1D71"/>
    <w:rsid w:val="4CA01928"/>
    <w:rsid w:val="4DB11640"/>
    <w:rsid w:val="4F726660"/>
    <w:rsid w:val="50CC086C"/>
    <w:rsid w:val="55211899"/>
    <w:rsid w:val="58E03B90"/>
    <w:rsid w:val="58F82E86"/>
    <w:rsid w:val="59F50F55"/>
    <w:rsid w:val="5A155820"/>
    <w:rsid w:val="5A946B68"/>
    <w:rsid w:val="5AE7000D"/>
    <w:rsid w:val="5E917E0A"/>
    <w:rsid w:val="5F4A7F49"/>
    <w:rsid w:val="604F76F6"/>
    <w:rsid w:val="63BF2DAA"/>
    <w:rsid w:val="63F21D07"/>
    <w:rsid w:val="64461F1A"/>
    <w:rsid w:val="64866A2C"/>
    <w:rsid w:val="64C61D9B"/>
    <w:rsid w:val="662D623E"/>
    <w:rsid w:val="67944034"/>
    <w:rsid w:val="68D652BB"/>
    <w:rsid w:val="6E676755"/>
    <w:rsid w:val="6E6C4E3E"/>
    <w:rsid w:val="6F11565A"/>
    <w:rsid w:val="71C5614E"/>
    <w:rsid w:val="71EC4FA7"/>
    <w:rsid w:val="73EB672B"/>
    <w:rsid w:val="75F51F00"/>
    <w:rsid w:val="7691621C"/>
    <w:rsid w:val="778F52EA"/>
    <w:rsid w:val="789302F8"/>
    <w:rsid w:val="7D1F1406"/>
    <w:rsid w:val="7DD44BCB"/>
    <w:rsid w:val="7F144D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1"/>
    <w:pPr>
      <w:ind w:left="822"/>
      <w:outlineLvl w:val="3"/>
    </w:pPr>
    <w:rPr>
      <w:rFonts w:ascii="黑体" w:hAnsi="黑体" w:eastAsia="黑体" w:cs="黑体"/>
      <w:b/>
      <w:bCs/>
      <w:sz w:val="30"/>
      <w:szCs w:val="30"/>
      <w:lang w:val="zh-CN" w:eastAsia="zh-CN" w:bidi="zh-CN"/>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jc w:val="center"/>
    </w:pPr>
    <w:rPr>
      <w:rFonts w:eastAsia="仿宋_GB2312" w:asciiTheme="minorHAnsi" w:hAnsiTheme="minorHAnsi" w:cstheme="minorBidi"/>
      <w:bCs/>
      <w:sz w:val="44"/>
      <w:szCs w:val="22"/>
    </w:rPr>
  </w:style>
  <w:style w:type="character" w:customStyle="1" w:styleId="10">
    <w:name w:val="font61"/>
    <w:basedOn w:val="9"/>
    <w:qFormat/>
    <w:uiPriority w:val="0"/>
    <w:rPr>
      <w:rFonts w:hint="eastAsia" w:ascii="宋体" w:hAnsi="宋体" w:eastAsia="宋体" w:cs="宋体"/>
      <w:color w:val="000000"/>
      <w:sz w:val="20"/>
      <w:szCs w:val="20"/>
      <w:u w:val="none"/>
    </w:rPr>
  </w:style>
  <w:style w:type="character" w:customStyle="1" w:styleId="11">
    <w:name w:val="font51"/>
    <w:basedOn w:val="9"/>
    <w:qFormat/>
    <w:uiPriority w:val="0"/>
    <w:rPr>
      <w:rFonts w:hint="eastAsia" w:ascii="宋体" w:hAnsi="宋体" w:eastAsia="宋体" w:cs="宋体"/>
      <w:color w:val="000000"/>
      <w:sz w:val="20"/>
      <w:szCs w:val="20"/>
      <w:u w:val="none"/>
    </w:rPr>
  </w:style>
  <w:style w:type="character" w:customStyle="1" w:styleId="12">
    <w:name w:val="font01"/>
    <w:basedOn w:val="9"/>
    <w:qFormat/>
    <w:uiPriority w:val="0"/>
    <w:rPr>
      <w:rFonts w:hint="eastAsia" w:ascii="宋体" w:hAnsi="宋体" w:eastAsia="宋体" w:cs="宋体"/>
      <w:color w:val="000000"/>
      <w:sz w:val="22"/>
      <w:szCs w:val="22"/>
      <w:u w:val="none"/>
    </w:rPr>
  </w:style>
  <w:style w:type="character" w:customStyle="1" w:styleId="13">
    <w:name w:val="font31"/>
    <w:basedOn w:val="9"/>
    <w:qFormat/>
    <w:uiPriority w:val="0"/>
    <w:rPr>
      <w:rFonts w:hint="eastAsia" w:ascii="宋体" w:hAnsi="宋体" w:eastAsia="宋体" w:cs="宋体"/>
      <w:color w:val="000000"/>
      <w:sz w:val="24"/>
      <w:szCs w:val="24"/>
      <w:u w:val="none"/>
    </w:rPr>
  </w:style>
  <w:style w:type="paragraph" w:customStyle="1" w:styleId="14">
    <w:name w:val="ÕýÎÄ1"/>
    <w:basedOn w:val="1"/>
    <w:qFormat/>
    <w:uiPriority w:val="0"/>
    <w:pPr>
      <w:widowControl/>
    </w:pPr>
    <w:rPr>
      <w:rFonts w:eastAsia="Times New Roman"/>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emf"/><Relationship Id="rId23" Type="http://schemas.openxmlformats.org/officeDocument/2006/relationships/oleObject" Target="embeddings/oleObject10.bin"/><Relationship Id="rId22" Type="http://schemas.openxmlformats.org/officeDocument/2006/relationships/image" Target="media/image9.emf"/><Relationship Id="rId21" Type="http://schemas.openxmlformats.org/officeDocument/2006/relationships/oleObject" Target="embeddings/oleObject9.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4116</Words>
  <Characters>4848</Characters>
  <Lines>0</Lines>
  <Paragraphs>0</Paragraphs>
  <TotalTime>0</TotalTime>
  <ScaleCrop>false</ScaleCrop>
  <LinksUpToDate>false</LinksUpToDate>
  <CharactersWithSpaces>5361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cp:lastPrinted>2019-01-22T07:03:00Z</cp:lastPrinted>
  <dcterms:modified xsi:type="dcterms:W3CDTF">2018-12-28T09:40:49Z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