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center"/>
        <w:rPr>
          <w:rFonts w:hint="eastAsia" w:ascii="黑体" w:hAnsi="宋体" w:eastAsia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宋体" w:eastAsia="黑体"/>
          <w:b/>
          <w:bCs/>
          <w:color w:val="000000"/>
          <w:sz w:val="36"/>
          <w:szCs w:val="36"/>
          <w:shd w:val="clear" w:color="auto" w:fill="FFFFFF"/>
        </w:rPr>
        <w:t>献县商务局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center"/>
        <w:rPr>
          <w:rFonts w:hint="eastAsia"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/>
          <w:b/>
          <w:bCs/>
          <w:color w:val="000000"/>
          <w:sz w:val="36"/>
          <w:szCs w:val="36"/>
          <w:shd w:val="clear" w:color="auto" w:fill="FFFFFF"/>
        </w:rPr>
        <w:t>粮食收购资格认定事中事后监管制度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为加强对粮食收购资格的监督检查，保护粮食生产者和收购者的合法权益，维护粮食收购市场秩序，特制定如下监管制度：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一、监督检查对象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    取得粮食收购资格的法人、个体工商户及其他经济组织。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二、监督检查内容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（一）粮食收购者是否具备粮食收购资格，在其从事的粮食收购活动中是否遵守国家有关法律、法规、规章及粮食收购政策；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（二）粮食收购者《粮食收购许可证》所登记的内容有无重大变化；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（三）粮食收购者有无涂改、倒卖、出租、出借《粮食收购许可证》的行为。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三、监督检查方式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（一）专项核查。每年组织开展1次粮食收购资格检查。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（二）日常监管。结合夏粮收购、秋粮收购、库存清查等粮食流通监督检查进行执法检查；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（三）重点检查。根据投诉举报开展重点执法检查。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四、监督检查程序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（一）制定工作方案。确定监督检查的对象、内容等；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（二）组织实施监督检查。检查粮食收购者的相关资料、资格证书等。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（三）提出监督检查报告，内容应包括：被检查对象名称、检查日期、检查的原因、项目、发现的主要问题、处理意见等。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（四）发现违法行为，应立案，依照规定程序组织调查。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（五）对违反粮食流通法律、法规、规章和政策的粮食经营者依法提出处理意见、建议或处罚决定。需要移交的，依照职能分工移交有关司法机关、部门、单位处理。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六）将监督检查结果、处理意见或建议通知被检查对象；需要进行处罚的，执行处罚决定；被检查对象对监督检查结果或处理意见有异议的，可依法申请行政复议或依法向人民法院提起诉讼，但行政处罚不停止执行，法律另有规定的除外。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（七）跟踪监督处理意见、建议、决定的执行情况。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（八）将监督检查报告及相关资料归档。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firstLine="64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五、监督检查处理</w:t>
      </w: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按照《粮食流通管理条例》、《粮食流通监督检查暂行办法》、《粮食收购资格审核管理暂行办法》等法规、规章的有关规定进行处理。</w:t>
      </w: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                                  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2016年1月5日</w:t>
      </w: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19"/>
    <w:rsid w:val="000604AC"/>
    <w:rsid w:val="006851BE"/>
    <w:rsid w:val="00982F11"/>
    <w:rsid w:val="009B3A19"/>
    <w:rsid w:val="00C453CA"/>
    <w:rsid w:val="00F5377A"/>
    <w:rsid w:val="7E7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146</Words>
  <Characters>835</Characters>
  <Lines>6</Lines>
  <Paragraphs>1</Paragraphs>
  <TotalTime>0</TotalTime>
  <ScaleCrop>false</ScaleCrop>
  <LinksUpToDate>false</LinksUpToDate>
  <CharactersWithSpaces>980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2016-01-05T06:38:00Z</dcterms:created>
  <dc:creator>Administrator</dc:creator>
  <cp:lastModifiedBy>Administrator</cp:lastModifiedBy>
  <cp:lastPrinted>2016-01-05T07:01:00Z</cp:lastPrinted>
  <dcterms:modified xsi:type="dcterms:W3CDTF">2017-07-12T07:50:50Z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